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pptx" ContentType="application/vnd.openxmlformats-officedocument.presentationml.presentatio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90DD24" w14:textId="0D36F686" w:rsidR="00D52BF3" w:rsidRPr="00D52BF3" w:rsidRDefault="00D52BF3" w:rsidP="00D52BF3">
      <w:pPr>
        <w:pStyle w:val="Header"/>
        <w:tabs>
          <w:tab w:val="right" w:pos="8647"/>
        </w:tabs>
        <w:rPr>
          <w:rFonts w:eastAsia="Malgun Gothic"/>
          <w:b/>
          <w:bCs/>
          <w:sz w:val="24"/>
          <w:lang w:val="en-GB" w:eastAsia="ko-KR"/>
        </w:rPr>
      </w:pPr>
      <w:bookmarkStart w:id="0" w:name="OLE_LINK1"/>
      <w:bookmarkStart w:id="1" w:name="OLE_LINK2"/>
      <w:r w:rsidRPr="00D52BF3">
        <w:rPr>
          <w:b/>
          <w:sz w:val="24"/>
          <w:lang w:val="en-GB"/>
        </w:rPr>
        <w:t>3GPP T</w:t>
      </w:r>
      <w:bookmarkStart w:id="2" w:name="_Ref452454252"/>
      <w:bookmarkEnd w:id="2"/>
      <w:r w:rsidRPr="00D52BF3">
        <w:rPr>
          <w:b/>
          <w:sz w:val="24"/>
          <w:lang w:val="en-GB"/>
        </w:rPr>
        <w:t>SG-</w:t>
      </w:r>
      <w:r w:rsidRPr="00D52BF3">
        <w:rPr>
          <w:b/>
          <w:sz w:val="24"/>
          <w:szCs w:val="24"/>
          <w:lang w:val="en-GB"/>
        </w:rPr>
        <w:t>RAN WG</w:t>
      </w:r>
      <w:r w:rsidRPr="00D52BF3">
        <w:rPr>
          <w:rFonts w:eastAsia="Malgun Gothic" w:hint="eastAsia"/>
          <w:b/>
          <w:sz w:val="24"/>
          <w:szCs w:val="24"/>
          <w:lang w:val="en-GB" w:eastAsia="ko-KR"/>
        </w:rPr>
        <w:t>2</w:t>
      </w:r>
      <w:r w:rsidRPr="00D52BF3">
        <w:rPr>
          <w:b/>
          <w:sz w:val="24"/>
          <w:szCs w:val="24"/>
          <w:lang w:val="en-GB"/>
        </w:rPr>
        <w:t xml:space="preserve"> NR-Adhoc</w:t>
      </w:r>
      <w:r w:rsidRPr="00D52BF3">
        <w:rPr>
          <w:b/>
          <w:sz w:val="24"/>
          <w:lang w:val="en-GB"/>
        </w:rPr>
        <w:tab/>
        <w:t xml:space="preserve">     </w:t>
      </w:r>
      <w:r w:rsidRPr="00D52BF3">
        <w:rPr>
          <w:b/>
          <w:sz w:val="24"/>
          <w:lang w:val="en-GB"/>
        </w:rPr>
        <w:tab/>
      </w:r>
      <w:r w:rsidR="00B208AD">
        <w:rPr>
          <w:b/>
          <w:sz w:val="24"/>
          <w:lang w:val="en-GB"/>
        </w:rPr>
        <w:tab/>
      </w:r>
      <w:r w:rsidR="00B208AD" w:rsidRPr="00B208AD">
        <w:rPr>
          <w:b/>
          <w:sz w:val="24"/>
          <w:lang w:val="en-GB" w:eastAsia="ja-JP"/>
        </w:rPr>
        <w:t>R2-1706680</w:t>
      </w:r>
    </w:p>
    <w:p w14:paraId="7E806CA4" w14:textId="77777777" w:rsidR="00D52BF3" w:rsidRPr="00D52BF3" w:rsidRDefault="00D52BF3" w:rsidP="00D52BF3">
      <w:pPr>
        <w:pStyle w:val="Header"/>
        <w:tabs>
          <w:tab w:val="right" w:pos="9639"/>
        </w:tabs>
        <w:rPr>
          <w:rFonts w:eastAsia="Malgun Gothic"/>
          <w:b/>
          <w:bCs/>
          <w:sz w:val="24"/>
          <w:lang w:eastAsia="ko-KR"/>
        </w:rPr>
      </w:pPr>
      <w:r w:rsidRPr="00D52BF3">
        <w:rPr>
          <w:rFonts w:eastAsia="Malgun Gothic"/>
          <w:b/>
          <w:sz w:val="24"/>
          <w:lang w:eastAsia="ko-KR"/>
        </w:rPr>
        <w:t>Qingdao, China, 27th – 29th June 2017</w:t>
      </w:r>
    </w:p>
    <w:p w14:paraId="1FD4C31F" w14:textId="77777777" w:rsidR="00D52BF3" w:rsidRPr="00950DB8" w:rsidRDefault="00D52BF3" w:rsidP="00D52BF3">
      <w:pPr>
        <w:pStyle w:val="TdocHeader2"/>
        <w:rPr>
          <w:sz w:val="20"/>
        </w:rPr>
      </w:pPr>
    </w:p>
    <w:p w14:paraId="404E3356" w14:textId="77777777" w:rsidR="00D52BF3" w:rsidRPr="00B208AD" w:rsidRDefault="00D52BF3" w:rsidP="00D52BF3">
      <w:pPr>
        <w:pStyle w:val="TdocHeader2"/>
        <w:rPr>
          <w:sz w:val="24"/>
        </w:rPr>
      </w:pPr>
      <w:r w:rsidRPr="00B208AD">
        <w:rPr>
          <w:sz w:val="24"/>
        </w:rPr>
        <w:t xml:space="preserve">Source: </w:t>
      </w:r>
      <w:r w:rsidRPr="00B208AD">
        <w:rPr>
          <w:sz w:val="24"/>
        </w:rPr>
        <w:tab/>
        <w:t>AT&amp;T</w:t>
      </w:r>
    </w:p>
    <w:p w14:paraId="13143121" w14:textId="22AAEBF3" w:rsidR="00D52BF3" w:rsidRPr="00B208AD" w:rsidRDefault="00D52BF3" w:rsidP="00D52BF3">
      <w:pPr>
        <w:pStyle w:val="TdocHeader2"/>
        <w:rPr>
          <w:sz w:val="24"/>
        </w:rPr>
      </w:pPr>
      <w:r w:rsidRPr="00B208AD">
        <w:rPr>
          <w:sz w:val="24"/>
        </w:rPr>
        <w:t>Title:</w:t>
      </w:r>
      <w:bookmarkStart w:id="3" w:name="Title"/>
      <w:bookmarkEnd w:id="3"/>
      <w:r w:rsidRPr="00B208AD">
        <w:rPr>
          <w:sz w:val="24"/>
        </w:rPr>
        <w:tab/>
      </w:r>
      <w:r w:rsidR="009C7667" w:rsidRPr="00B208AD">
        <w:rPr>
          <w:sz w:val="24"/>
        </w:rPr>
        <w:t xml:space="preserve">Beam Failure </w:t>
      </w:r>
      <w:r w:rsidR="00B35115" w:rsidRPr="00B208AD">
        <w:rPr>
          <w:sz w:val="24"/>
        </w:rPr>
        <w:t xml:space="preserve">Recovery </w:t>
      </w:r>
      <w:r w:rsidR="00A03B18" w:rsidRPr="00B208AD">
        <w:rPr>
          <w:sz w:val="24"/>
        </w:rPr>
        <w:t xml:space="preserve">Mechanism </w:t>
      </w:r>
      <w:r w:rsidR="00B35115" w:rsidRPr="00B208AD">
        <w:rPr>
          <w:sz w:val="24"/>
        </w:rPr>
        <w:t>and RLF</w:t>
      </w:r>
      <w:r w:rsidRPr="00B208AD">
        <w:rPr>
          <w:rFonts w:cs="Arial"/>
          <w:b w:val="0"/>
          <w:bCs/>
          <w:sz w:val="32"/>
        </w:rPr>
        <w:t xml:space="preserve"> </w:t>
      </w:r>
    </w:p>
    <w:p w14:paraId="08AD6C06" w14:textId="62AA9C88" w:rsidR="00D52BF3" w:rsidRPr="00B208AD" w:rsidRDefault="00D52BF3" w:rsidP="00D52BF3">
      <w:pPr>
        <w:pStyle w:val="TdocHeader2"/>
        <w:rPr>
          <w:sz w:val="24"/>
        </w:rPr>
      </w:pPr>
      <w:r w:rsidRPr="00B208AD">
        <w:rPr>
          <w:sz w:val="24"/>
        </w:rPr>
        <w:t>Agenda Item:</w:t>
      </w:r>
      <w:r w:rsidRPr="00B208AD">
        <w:rPr>
          <w:sz w:val="24"/>
        </w:rPr>
        <w:tab/>
      </w:r>
      <w:r w:rsidRPr="00B208AD">
        <w:rPr>
          <w:bCs/>
          <w:iCs/>
          <w:sz w:val="24"/>
        </w:rPr>
        <w:t>10.</w:t>
      </w:r>
      <w:r w:rsidR="00ED7F87" w:rsidRPr="00B208AD">
        <w:rPr>
          <w:bCs/>
          <w:iCs/>
          <w:sz w:val="24"/>
        </w:rPr>
        <w:t>2.9</w:t>
      </w:r>
    </w:p>
    <w:p w14:paraId="0015DC07" w14:textId="77777777" w:rsidR="00D52BF3" w:rsidRPr="00B208AD" w:rsidRDefault="00D52BF3" w:rsidP="00D52BF3">
      <w:pPr>
        <w:pStyle w:val="TdocHeader2"/>
        <w:rPr>
          <w:sz w:val="24"/>
        </w:rPr>
      </w:pPr>
      <w:r w:rsidRPr="00B208AD">
        <w:rPr>
          <w:sz w:val="24"/>
        </w:rPr>
        <w:t>Document for:</w:t>
      </w:r>
      <w:r w:rsidRPr="00B208AD">
        <w:rPr>
          <w:sz w:val="24"/>
        </w:rPr>
        <w:tab/>
        <w:t>Discussion</w:t>
      </w:r>
    </w:p>
    <w:bookmarkEnd w:id="0"/>
    <w:bookmarkEnd w:id="1"/>
    <w:p w14:paraId="29D45538" w14:textId="77777777" w:rsidR="001D7377" w:rsidRDefault="001D7377" w:rsidP="001D7377">
      <w:pPr>
        <w:pStyle w:val="Heading1"/>
      </w:pPr>
      <w:r w:rsidRPr="00183CB7">
        <w:t>Introduction</w:t>
      </w:r>
    </w:p>
    <w:p w14:paraId="038EE7DF" w14:textId="77777777" w:rsidR="009C7667" w:rsidRDefault="009C7667" w:rsidP="00D11AD9">
      <w:pPr>
        <w:rPr>
          <w:lang w:val="en-GB"/>
        </w:rPr>
      </w:pPr>
      <w:r>
        <w:rPr>
          <w:lang w:val="en-GB"/>
        </w:rPr>
        <w:t xml:space="preserve">This contribution discusses some RAN2 implications of recent RAN1 agreements and working assumptions on beam failure recovery and radio link failure mechanisms. </w:t>
      </w:r>
    </w:p>
    <w:p w14:paraId="754B1D9E" w14:textId="2F62FCF4" w:rsidR="00D11AD9" w:rsidRDefault="00DE093B" w:rsidP="00D11AD9">
      <w:pPr>
        <w:rPr>
          <w:lang w:val="en-GB"/>
        </w:rPr>
      </w:pPr>
      <w:r>
        <w:rPr>
          <w:lang w:val="en-GB"/>
        </w:rPr>
        <w:t>In RAN1#88</w:t>
      </w:r>
      <w:r w:rsidR="006B13A0">
        <w:rPr>
          <w:lang w:val="en-GB"/>
        </w:rPr>
        <w:t>bis</w:t>
      </w:r>
      <w:r w:rsidR="001440C3">
        <w:rPr>
          <w:lang w:val="en-GB"/>
        </w:rPr>
        <w:t>, the following agreement has been reached to define the</w:t>
      </w:r>
      <w:r w:rsidR="007150AB">
        <w:rPr>
          <w:lang w:val="en-GB"/>
        </w:rPr>
        <w:t xml:space="preserve"> </w:t>
      </w:r>
      <w:r w:rsidR="0097289C">
        <w:rPr>
          <w:lang w:val="en-GB"/>
        </w:rPr>
        <w:t>beam failure recovery mechanism</w:t>
      </w:r>
      <w:r w:rsidR="00507616">
        <w:rPr>
          <w:lang w:val="en-GB"/>
        </w:rPr>
        <w:t xml:space="preserve">. </w:t>
      </w:r>
    </w:p>
    <w:p w14:paraId="79D3DA39" w14:textId="77777777" w:rsidR="006B13A0" w:rsidRPr="009536C7" w:rsidRDefault="006B13A0" w:rsidP="006B13A0">
      <w:pPr>
        <w:rPr>
          <w:rFonts w:eastAsia="MS Mincho"/>
          <w:b/>
          <w:u w:val="single"/>
          <w:lang w:eastAsia="ja-JP"/>
        </w:rPr>
      </w:pPr>
      <w:r w:rsidRPr="00E7164E">
        <w:rPr>
          <w:rFonts w:eastAsia="MS Mincho" w:hint="eastAsia"/>
          <w:b/>
          <w:highlight w:val="green"/>
          <w:u w:val="single"/>
          <w:lang w:eastAsia="ja-JP"/>
        </w:rPr>
        <w:t>Agreements:</w:t>
      </w:r>
    </w:p>
    <w:p w14:paraId="4F67B843" w14:textId="77777777" w:rsidR="006B13A0" w:rsidRPr="00B625A0" w:rsidRDefault="006B13A0" w:rsidP="006B13A0">
      <w:pPr>
        <w:numPr>
          <w:ilvl w:val="0"/>
          <w:numId w:val="26"/>
        </w:numPr>
        <w:overflowPunct/>
        <w:autoSpaceDE/>
        <w:autoSpaceDN/>
        <w:adjustRightInd/>
        <w:spacing w:after="0"/>
        <w:textAlignment w:val="auto"/>
        <w:rPr>
          <w:rFonts w:eastAsia="MS Mincho"/>
          <w:highlight w:val="yellow"/>
          <w:lang w:eastAsia="ja-JP"/>
        </w:rPr>
      </w:pPr>
      <w:r w:rsidRPr="00B625A0">
        <w:rPr>
          <w:rFonts w:eastAsia="MS Mincho"/>
          <w:highlight w:val="yellow"/>
          <w:lang w:eastAsia="ja-JP"/>
        </w:rPr>
        <w:t xml:space="preserve">UE Beam failure recovery mechanism includes the following </w:t>
      </w:r>
      <w:r w:rsidRPr="00B625A0">
        <w:rPr>
          <w:rFonts w:eastAsia="MS Mincho" w:hint="eastAsia"/>
          <w:highlight w:val="yellow"/>
          <w:lang w:eastAsia="ja-JP"/>
        </w:rPr>
        <w:t>aspects</w:t>
      </w:r>
    </w:p>
    <w:p w14:paraId="5914D069" w14:textId="77777777" w:rsidR="006B13A0" w:rsidRPr="00B625A0" w:rsidRDefault="006B13A0" w:rsidP="006B13A0">
      <w:pPr>
        <w:numPr>
          <w:ilvl w:val="1"/>
          <w:numId w:val="26"/>
        </w:numPr>
        <w:overflowPunct/>
        <w:autoSpaceDE/>
        <w:autoSpaceDN/>
        <w:adjustRightInd/>
        <w:spacing w:after="0"/>
        <w:textAlignment w:val="auto"/>
        <w:rPr>
          <w:rFonts w:eastAsia="MS Mincho"/>
          <w:highlight w:val="yellow"/>
          <w:lang w:eastAsia="ja-JP"/>
        </w:rPr>
      </w:pPr>
      <w:r w:rsidRPr="00B625A0">
        <w:rPr>
          <w:rFonts w:eastAsia="MS Mincho"/>
          <w:highlight w:val="yellow"/>
          <w:lang w:eastAsia="ja-JP"/>
        </w:rPr>
        <w:t>Beam failure detection</w:t>
      </w:r>
    </w:p>
    <w:p w14:paraId="0E8C1F78" w14:textId="77777777" w:rsidR="006B13A0" w:rsidRPr="00B625A0" w:rsidRDefault="006B13A0" w:rsidP="006B13A0">
      <w:pPr>
        <w:numPr>
          <w:ilvl w:val="1"/>
          <w:numId w:val="26"/>
        </w:numPr>
        <w:overflowPunct/>
        <w:autoSpaceDE/>
        <w:autoSpaceDN/>
        <w:adjustRightInd/>
        <w:spacing w:after="0"/>
        <w:textAlignment w:val="auto"/>
        <w:rPr>
          <w:rFonts w:eastAsia="MS Mincho"/>
          <w:highlight w:val="yellow"/>
          <w:lang w:eastAsia="ja-JP"/>
        </w:rPr>
      </w:pPr>
      <w:r w:rsidRPr="00B625A0">
        <w:rPr>
          <w:rFonts w:eastAsia="MS Mincho"/>
          <w:highlight w:val="yellow"/>
          <w:lang w:eastAsia="ja-JP"/>
        </w:rPr>
        <w:t>New candidate beam identification</w:t>
      </w:r>
    </w:p>
    <w:p w14:paraId="309FF179" w14:textId="77777777" w:rsidR="006B13A0" w:rsidRPr="00B625A0" w:rsidRDefault="006B13A0" w:rsidP="006B13A0">
      <w:pPr>
        <w:numPr>
          <w:ilvl w:val="1"/>
          <w:numId w:val="26"/>
        </w:numPr>
        <w:overflowPunct/>
        <w:autoSpaceDE/>
        <w:autoSpaceDN/>
        <w:adjustRightInd/>
        <w:spacing w:after="0"/>
        <w:textAlignment w:val="auto"/>
        <w:rPr>
          <w:rFonts w:eastAsia="MS Mincho"/>
          <w:highlight w:val="yellow"/>
          <w:lang w:eastAsia="ja-JP"/>
        </w:rPr>
      </w:pPr>
      <w:r w:rsidRPr="00B625A0">
        <w:rPr>
          <w:rFonts w:eastAsia="MS Mincho"/>
          <w:highlight w:val="yellow"/>
          <w:lang w:eastAsia="ja-JP"/>
        </w:rPr>
        <w:t>Beam failure recovery request transmission</w:t>
      </w:r>
    </w:p>
    <w:p w14:paraId="02FF6F40" w14:textId="77777777" w:rsidR="006B13A0" w:rsidRPr="00B625A0" w:rsidRDefault="006B13A0" w:rsidP="006B13A0">
      <w:pPr>
        <w:numPr>
          <w:ilvl w:val="1"/>
          <w:numId w:val="26"/>
        </w:numPr>
        <w:overflowPunct/>
        <w:autoSpaceDE/>
        <w:autoSpaceDN/>
        <w:adjustRightInd/>
        <w:spacing w:after="0"/>
        <w:textAlignment w:val="auto"/>
        <w:rPr>
          <w:rFonts w:eastAsia="MS Mincho"/>
          <w:highlight w:val="yellow"/>
          <w:lang w:eastAsia="ja-JP"/>
        </w:rPr>
      </w:pPr>
      <w:r w:rsidRPr="00B625A0">
        <w:rPr>
          <w:rFonts w:eastAsia="MS Mincho"/>
          <w:highlight w:val="yellow"/>
          <w:lang w:eastAsia="ja-JP"/>
        </w:rPr>
        <w:t>UE monitors gNB response for beam failure recovery request</w:t>
      </w:r>
    </w:p>
    <w:p w14:paraId="4349EE1A" w14:textId="2989E585" w:rsidR="004377F0" w:rsidRPr="00600295" w:rsidRDefault="004377F0" w:rsidP="00795D96">
      <w:pPr>
        <w:overflowPunct/>
        <w:autoSpaceDE/>
        <w:autoSpaceDN/>
        <w:adjustRightInd/>
        <w:spacing w:after="0"/>
        <w:ind w:left="1440"/>
        <w:textAlignment w:val="auto"/>
        <w:rPr>
          <w:rFonts w:eastAsia="MS Mincho"/>
        </w:rPr>
      </w:pPr>
    </w:p>
    <w:p w14:paraId="7DB82023" w14:textId="6B0EA5B5" w:rsidR="004377F0" w:rsidRDefault="004D4847" w:rsidP="00D11AD9">
      <w:pPr>
        <w:rPr>
          <w:lang w:val="en-GB"/>
        </w:rPr>
      </w:pPr>
      <w:r>
        <w:rPr>
          <w:lang w:val="en-GB"/>
        </w:rPr>
        <w:t>In RAN#1 89, the following agreements have been reached regarding the beam recovery procedure</w:t>
      </w:r>
    </w:p>
    <w:p w14:paraId="69B8A13E" w14:textId="7D8F3480" w:rsidR="004D4847" w:rsidRPr="004D4847" w:rsidRDefault="004D4847" w:rsidP="00D11AD9">
      <w:pPr>
        <w:rPr>
          <w:u w:val="single"/>
          <w:lang w:val="en-GB"/>
        </w:rPr>
      </w:pPr>
      <w:r w:rsidRPr="004D4847">
        <w:rPr>
          <w:highlight w:val="green"/>
          <w:u w:val="single"/>
          <w:lang w:val="en-GB"/>
        </w:rPr>
        <w:t>Agreements</w:t>
      </w:r>
    </w:p>
    <w:p w14:paraId="62C9E58D" w14:textId="77777777" w:rsidR="004D4847" w:rsidRPr="009A71D5" w:rsidRDefault="004D4847" w:rsidP="004D4847">
      <w:pPr>
        <w:numPr>
          <w:ilvl w:val="0"/>
          <w:numId w:val="28"/>
        </w:numPr>
        <w:overflowPunct/>
        <w:autoSpaceDE/>
        <w:autoSpaceDN/>
        <w:adjustRightInd/>
        <w:spacing w:after="0"/>
        <w:textAlignment w:val="auto"/>
        <w:rPr>
          <w:rFonts w:eastAsia="MS Mincho"/>
          <w:lang w:eastAsia="ja-JP"/>
        </w:rPr>
      </w:pPr>
      <w:r w:rsidRPr="009A71D5">
        <w:rPr>
          <w:rFonts w:eastAsia="MS Mincho"/>
          <w:lang w:eastAsia="ja-JP"/>
        </w:rPr>
        <w:t>Support the following channel(s) for beam failure recovery request transmission:</w:t>
      </w:r>
    </w:p>
    <w:p w14:paraId="7678362D" w14:textId="77777777" w:rsidR="004D4847" w:rsidRPr="009A71D5" w:rsidRDefault="004D4847" w:rsidP="004D4847">
      <w:pPr>
        <w:numPr>
          <w:ilvl w:val="1"/>
          <w:numId w:val="28"/>
        </w:numPr>
        <w:overflowPunct/>
        <w:autoSpaceDE/>
        <w:autoSpaceDN/>
        <w:adjustRightInd/>
        <w:spacing w:after="0"/>
        <w:textAlignment w:val="auto"/>
        <w:rPr>
          <w:rFonts w:eastAsia="MS Mincho"/>
          <w:lang w:eastAsia="ja-JP"/>
        </w:rPr>
      </w:pPr>
      <w:r w:rsidRPr="009A71D5">
        <w:rPr>
          <w:rFonts w:eastAsia="MS Mincho"/>
          <w:lang w:eastAsia="ja-JP"/>
        </w:rPr>
        <w:t xml:space="preserve">Non-contention </w:t>
      </w:r>
      <w:r>
        <w:rPr>
          <w:rFonts w:eastAsia="MS Mincho"/>
          <w:lang w:eastAsia="ja-JP"/>
        </w:rPr>
        <w:t xml:space="preserve">  </w:t>
      </w:r>
      <w:r w:rsidRPr="009A71D5">
        <w:rPr>
          <w:rFonts w:eastAsia="MS Mincho"/>
          <w:lang w:eastAsia="ja-JP"/>
        </w:rPr>
        <w:t xml:space="preserve"> channel based on PRACH, which uses a resource orthogonal to resources of other PRACH transmissions, at least for the FDM case</w:t>
      </w:r>
    </w:p>
    <w:p w14:paraId="7CC34206" w14:textId="77777777" w:rsidR="004D4847" w:rsidRPr="009A71D5" w:rsidRDefault="004D4847" w:rsidP="004D4847">
      <w:pPr>
        <w:numPr>
          <w:ilvl w:val="2"/>
          <w:numId w:val="28"/>
        </w:numPr>
        <w:tabs>
          <w:tab w:val="clear" w:pos="2160"/>
        </w:tabs>
        <w:overflowPunct/>
        <w:autoSpaceDE/>
        <w:autoSpaceDN/>
        <w:adjustRightInd/>
        <w:spacing w:after="0"/>
        <w:textAlignment w:val="auto"/>
        <w:rPr>
          <w:rFonts w:eastAsia="MS Mincho"/>
          <w:lang w:eastAsia="ja-JP"/>
        </w:rPr>
      </w:pPr>
      <w:r w:rsidRPr="009A71D5">
        <w:rPr>
          <w:rFonts w:eastAsia="MS Mincho"/>
          <w:lang w:eastAsia="ja-JP"/>
        </w:rPr>
        <w:t>FFS other ways of achieving orthogonality, e.g., CDM/TDM with other PRACH resources</w:t>
      </w:r>
    </w:p>
    <w:p w14:paraId="69C8CCC0" w14:textId="77777777" w:rsidR="004D4847" w:rsidRPr="009A71D5" w:rsidRDefault="004D4847" w:rsidP="004D4847">
      <w:pPr>
        <w:numPr>
          <w:ilvl w:val="2"/>
          <w:numId w:val="28"/>
        </w:numPr>
        <w:tabs>
          <w:tab w:val="clear" w:pos="2160"/>
        </w:tabs>
        <w:overflowPunct/>
        <w:autoSpaceDE/>
        <w:autoSpaceDN/>
        <w:adjustRightInd/>
        <w:spacing w:after="0"/>
        <w:textAlignment w:val="auto"/>
        <w:rPr>
          <w:rFonts w:eastAsia="MS Mincho"/>
          <w:lang w:eastAsia="ja-JP"/>
        </w:rPr>
      </w:pPr>
      <w:r w:rsidRPr="009A71D5">
        <w:rPr>
          <w:rFonts w:eastAsia="MS Mincho"/>
          <w:lang w:eastAsia="ja-JP"/>
        </w:rPr>
        <w:t xml:space="preserve">FFS whether or not have different sequence and/or format than those of PRACH for other purposes </w:t>
      </w:r>
    </w:p>
    <w:p w14:paraId="5763C33B" w14:textId="77777777" w:rsidR="004D4847" w:rsidRPr="009A71D5" w:rsidRDefault="004D4847" w:rsidP="004D4847">
      <w:pPr>
        <w:numPr>
          <w:ilvl w:val="2"/>
          <w:numId w:val="28"/>
        </w:numPr>
        <w:tabs>
          <w:tab w:val="clear" w:pos="2160"/>
        </w:tabs>
        <w:overflowPunct/>
        <w:autoSpaceDE/>
        <w:autoSpaceDN/>
        <w:adjustRightInd/>
        <w:spacing w:after="0"/>
        <w:textAlignment w:val="auto"/>
        <w:rPr>
          <w:rFonts w:eastAsia="MS Mincho"/>
          <w:lang w:eastAsia="ja-JP"/>
        </w:rPr>
      </w:pPr>
      <w:r w:rsidRPr="009A71D5">
        <w:rPr>
          <w:rFonts w:eastAsia="MS Mincho"/>
          <w:lang w:eastAsia="ja-JP"/>
        </w:rPr>
        <w:t xml:space="preserve">Note: this does not prevent PRACH design optimization attempt for beam failure recovery request transmission from other agenda item </w:t>
      </w:r>
    </w:p>
    <w:p w14:paraId="29459456" w14:textId="77777777" w:rsidR="004D4847" w:rsidRPr="009A71D5" w:rsidRDefault="004D4847" w:rsidP="004D4847">
      <w:pPr>
        <w:numPr>
          <w:ilvl w:val="2"/>
          <w:numId w:val="28"/>
        </w:numPr>
        <w:tabs>
          <w:tab w:val="clear" w:pos="2160"/>
        </w:tabs>
        <w:overflowPunct/>
        <w:autoSpaceDE/>
        <w:autoSpaceDN/>
        <w:adjustRightInd/>
        <w:spacing w:after="0"/>
        <w:textAlignment w:val="auto"/>
        <w:rPr>
          <w:rFonts w:eastAsia="MS Mincho"/>
          <w:lang w:eastAsia="ja-JP"/>
        </w:rPr>
      </w:pPr>
      <w:r w:rsidRPr="009A71D5">
        <w:rPr>
          <w:rFonts w:eastAsia="MS Mincho"/>
          <w:lang w:eastAsia="ja-JP"/>
        </w:rPr>
        <w:t>FFS: Retransmission behavior on this PRACH  resource is similar to regular RACH procedure</w:t>
      </w:r>
    </w:p>
    <w:p w14:paraId="6D588247" w14:textId="77777777" w:rsidR="004D4847" w:rsidRPr="00655B30" w:rsidRDefault="004D4847" w:rsidP="004D4847">
      <w:pPr>
        <w:numPr>
          <w:ilvl w:val="1"/>
          <w:numId w:val="28"/>
        </w:numPr>
        <w:overflowPunct/>
        <w:autoSpaceDE/>
        <w:autoSpaceDN/>
        <w:adjustRightInd/>
        <w:spacing w:after="0"/>
        <w:textAlignment w:val="auto"/>
        <w:rPr>
          <w:rFonts w:eastAsia="MS Mincho"/>
          <w:highlight w:val="red"/>
          <w:lang w:eastAsia="ja-JP"/>
        </w:rPr>
      </w:pPr>
      <w:r w:rsidRPr="00655B30">
        <w:rPr>
          <w:rFonts w:eastAsia="MS Mincho"/>
          <w:highlight w:val="red"/>
          <w:lang w:eastAsia="ja-JP"/>
        </w:rPr>
        <w:t>Support using PUCCH for beam failure recovery request transmission</w:t>
      </w:r>
    </w:p>
    <w:p w14:paraId="778AD23A" w14:textId="77777777" w:rsidR="004D4847" w:rsidRPr="009A71D5" w:rsidRDefault="004D4847" w:rsidP="004D4847">
      <w:pPr>
        <w:numPr>
          <w:ilvl w:val="2"/>
          <w:numId w:val="28"/>
        </w:numPr>
        <w:overflowPunct/>
        <w:autoSpaceDE/>
        <w:autoSpaceDN/>
        <w:adjustRightInd/>
        <w:spacing w:after="0"/>
        <w:textAlignment w:val="auto"/>
        <w:rPr>
          <w:rFonts w:eastAsia="MS Mincho"/>
          <w:lang w:eastAsia="ja-JP"/>
        </w:rPr>
      </w:pPr>
      <w:r w:rsidRPr="009A71D5">
        <w:rPr>
          <w:rFonts w:eastAsia="MS Mincho"/>
          <w:lang w:eastAsia="ja-JP"/>
        </w:rPr>
        <w:t>FFS whether PUCCH is with beam sweeping or not</w:t>
      </w:r>
    </w:p>
    <w:p w14:paraId="23B005C4" w14:textId="77777777" w:rsidR="004D4847" w:rsidRPr="009A71D5" w:rsidRDefault="004D4847" w:rsidP="004D4847">
      <w:pPr>
        <w:numPr>
          <w:ilvl w:val="2"/>
          <w:numId w:val="28"/>
        </w:numPr>
        <w:overflowPunct/>
        <w:autoSpaceDE/>
        <w:autoSpaceDN/>
        <w:adjustRightInd/>
        <w:spacing w:after="0"/>
        <w:textAlignment w:val="auto"/>
        <w:rPr>
          <w:rFonts w:eastAsia="MS Mincho"/>
          <w:lang w:eastAsia="ja-JP"/>
        </w:rPr>
      </w:pPr>
      <w:r w:rsidRPr="009A71D5">
        <w:rPr>
          <w:rFonts w:eastAsia="MS Mincho"/>
          <w:lang w:eastAsia="ja-JP"/>
        </w:rPr>
        <w:t>Note: this may or may not impact PUCCH design</w:t>
      </w:r>
    </w:p>
    <w:p w14:paraId="32D9EC12" w14:textId="77777777" w:rsidR="004D4847" w:rsidRPr="009A71D5" w:rsidRDefault="004D4847" w:rsidP="004D4847">
      <w:pPr>
        <w:numPr>
          <w:ilvl w:val="1"/>
          <w:numId w:val="28"/>
        </w:numPr>
        <w:overflowPunct/>
        <w:autoSpaceDE/>
        <w:autoSpaceDN/>
        <w:adjustRightInd/>
        <w:spacing w:after="0"/>
        <w:textAlignment w:val="auto"/>
        <w:rPr>
          <w:rFonts w:eastAsia="MS Mincho"/>
          <w:lang w:eastAsia="ja-JP"/>
        </w:rPr>
      </w:pPr>
      <w:r w:rsidRPr="009A71D5">
        <w:rPr>
          <w:rFonts w:eastAsia="MS Mincho"/>
          <w:lang w:eastAsia="ja-JP"/>
        </w:rPr>
        <w:t>FFS Contention-based PRACH resources as supplement to contention-free beam failure recovery resources</w:t>
      </w:r>
    </w:p>
    <w:p w14:paraId="6D424D65" w14:textId="77777777" w:rsidR="004D4847" w:rsidRPr="009A71D5" w:rsidRDefault="004D4847" w:rsidP="004D4847">
      <w:pPr>
        <w:numPr>
          <w:ilvl w:val="2"/>
          <w:numId w:val="28"/>
        </w:numPr>
        <w:overflowPunct/>
        <w:autoSpaceDE/>
        <w:autoSpaceDN/>
        <w:adjustRightInd/>
        <w:spacing w:after="0"/>
        <w:textAlignment w:val="auto"/>
        <w:rPr>
          <w:rFonts w:eastAsia="MS Mincho"/>
          <w:lang w:eastAsia="ja-JP"/>
        </w:rPr>
      </w:pPr>
      <w:r w:rsidRPr="009A71D5">
        <w:rPr>
          <w:rFonts w:eastAsia="MS Mincho"/>
          <w:lang w:eastAsia="ja-JP"/>
        </w:rPr>
        <w:t>From traditional RACH resource pool</w:t>
      </w:r>
    </w:p>
    <w:p w14:paraId="23A01A3F" w14:textId="77777777" w:rsidR="004D4847" w:rsidRPr="009A71D5" w:rsidRDefault="004D4847" w:rsidP="004D4847">
      <w:pPr>
        <w:numPr>
          <w:ilvl w:val="2"/>
          <w:numId w:val="28"/>
        </w:numPr>
        <w:overflowPunct/>
        <w:autoSpaceDE/>
        <w:autoSpaceDN/>
        <w:adjustRightInd/>
        <w:spacing w:after="0"/>
        <w:textAlignment w:val="auto"/>
        <w:rPr>
          <w:rFonts w:eastAsia="MS Mincho"/>
          <w:lang w:eastAsia="ja-JP"/>
        </w:rPr>
      </w:pPr>
      <w:r w:rsidRPr="009A71D5">
        <w:rPr>
          <w:rFonts w:eastAsia="MS Mincho"/>
          <w:lang w:eastAsia="ja-JP"/>
        </w:rPr>
        <w:t>4-step RACH procedure is used</w:t>
      </w:r>
    </w:p>
    <w:p w14:paraId="501BB4C8" w14:textId="77777777" w:rsidR="004D4847" w:rsidRPr="009A71D5" w:rsidRDefault="004D4847" w:rsidP="004D4847">
      <w:pPr>
        <w:numPr>
          <w:ilvl w:val="2"/>
          <w:numId w:val="28"/>
        </w:numPr>
        <w:overflowPunct/>
        <w:autoSpaceDE/>
        <w:autoSpaceDN/>
        <w:adjustRightInd/>
        <w:spacing w:after="0"/>
        <w:textAlignment w:val="auto"/>
        <w:rPr>
          <w:rFonts w:eastAsia="MS Mincho"/>
          <w:lang w:eastAsia="ja-JP"/>
        </w:rPr>
      </w:pPr>
      <w:r w:rsidRPr="009A71D5">
        <w:rPr>
          <w:rFonts w:eastAsia="MS Mincho"/>
          <w:lang w:eastAsia="ja-JP"/>
        </w:rPr>
        <w:t xml:space="preserve">Note: contention-based PRACH resources is used e.g., if a new candidate beam does not have resources for contention-free PRACH-like transmission </w:t>
      </w:r>
    </w:p>
    <w:p w14:paraId="51F34AF3" w14:textId="77777777" w:rsidR="004D4847" w:rsidRDefault="004D4847" w:rsidP="004D4847">
      <w:pPr>
        <w:numPr>
          <w:ilvl w:val="1"/>
          <w:numId w:val="28"/>
        </w:numPr>
        <w:overflowPunct/>
        <w:autoSpaceDE/>
        <w:autoSpaceDN/>
        <w:adjustRightInd/>
        <w:spacing w:after="0"/>
        <w:textAlignment w:val="auto"/>
        <w:rPr>
          <w:rFonts w:eastAsia="MS Mincho"/>
          <w:lang w:eastAsia="ja-JP"/>
        </w:rPr>
      </w:pPr>
      <w:r w:rsidRPr="009A71D5">
        <w:rPr>
          <w:rFonts w:eastAsia="MS Mincho"/>
          <w:lang w:eastAsia="ja-JP"/>
        </w:rPr>
        <w:t xml:space="preserve">FFS whether a UE is semi-statically configured to use one of them or both, if both, whether or not support dynamic selection of one of the channel(s) by a UE if the UE is configured with both </w:t>
      </w:r>
    </w:p>
    <w:p w14:paraId="28E8C08A" w14:textId="77777777" w:rsidR="00A75D64" w:rsidRDefault="00A75D64" w:rsidP="00A75D64">
      <w:pPr>
        <w:overflowPunct/>
        <w:autoSpaceDE/>
        <w:autoSpaceDN/>
        <w:adjustRightInd/>
        <w:spacing w:after="0"/>
        <w:ind w:left="720"/>
        <w:textAlignment w:val="auto"/>
        <w:rPr>
          <w:rFonts w:eastAsia="MS Mincho"/>
          <w:lang w:eastAsia="ja-JP"/>
        </w:rPr>
      </w:pPr>
    </w:p>
    <w:p w14:paraId="042F4235" w14:textId="77777777" w:rsidR="00A75D64" w:rsidRPr="009A71D5" w:rsidRDefault="00A75D64" w:rsidP="00A75D64">
      <w:pPr>
        <w:overflowPunct/>
        <w:autoSpaceDE/>
        <w:autoSpaceDN/>
        <w:adjustRightInd/>
        <w:spacing w:after="0"/>
        <w:ind w:left="720"/>
        <w:textAlignment w:val="auto"/>
        <w:rPr>
          <w:rFonts w:eastAsia="MS Mincho"/>
          <w:lang w:eastAsia="ja-JP"/>
        </w:rPr>
      </w:pPr>
    </w:p>
    <w:p w14:paraId="2787770F" w14:textId="77777777" w:rsidR="004D4847" w:rsidRPr="00500CA8" w:rsidRDefault="004D4847" w:rsidP="004D4847">
      <w:pPr>
        <w:rPr>
          <w:rFonts w:eastAsia="MS Mincho"/>
          <w:szCs w:val="32"/>
          <w:lang w:eastAsia="ja-JP"/>
        </w:rPr>
      </w:pPr>
      <w:r w:rsidRPr="004D4847">
        <w:rPr>
          <w:rFonts w:eastAsia="MS Mincho"/>
          <w:szCs w:val="32"/>
          <w:highlight w:val="green"/>
          <w:u w:val="single"/>
          <w:lang w:eastAsia="ja-JP"/>
        </w:rPr>
        <w:t>Agreements</w:t>
      </w:r>
      <w:r w:rsidRPr="00500CA8">
        <w:rPr>
          <w:rFonts w:eastAsia="MS Mincho"/>
          <w:szCs w:val="32"/>
          <w:lang w:eastAsia="ja-JP"/>
        </w:rPr>
        <w:t>:</w:t>
      </w:r>
    </w:p>
    <w:p w14:paraId="12EF38CB" w14:textId="77777777" w:rsidR="004D4847" w:rsidRPr="00500CA8" w:rsidRDefault="004D4847" w:rsidP="004D4847">
      <w:pPr>
        <w:numPr>
          <w:ilvl w:val="0"/>
          <w:numId w:val="29"/>
        </w:numPr>
        <w:tabs>
          <w:tab w:val="left" w:pos="720"/>
        </w:tabs>
        <w:overflowPunct/>
        <w:autoSpaceDE/>
        <w:autoSpaceDN/>
        <w:adjustRightInd/>
        <w:spacing w:after="0"/>
        <w:textAlignment w:val="auto"/>
        <w:rPr>
          <w:rFonts w:eastAsia="MS Mincho"/>
          <w:szCs w:val="32"/>
          <w:lang w:eastAsia="ja-JP"/>
        </w:rPr>
      </w:pPr>
      <w:r w:rsidRPr="00500CA8">
        <w:rPr>
          <w:rFonts w:eastAsia="MS Mincho"/>
          <w:szCs w:val="32"/>
          <w:lang w:eastAsia="ja-JP"/>
        </w:rPr>
        <w:t>To receive gNB response for beam failure recovery request, a UE monitors NR PDCCH with the assumption that the corresponding</w:t>
      </w:r>
      <w:r w:rsidRPr="00500CA8">
        <w:rPr>
          <w:szCs w:val="32"/>
        </w:rPr>
        <w:t xml:space="preserve"> PDCCH DM-RS is spatial QCL’ed with RS of the UE-identified candidate beam(s)</w:t>
      </w:r>
    </w:p>
    <w:p w14:paraId="7E627C04" w14:textId="77777777" w:rsidR="004D4847" w:rsidRPr="00500CA8" w:rsidRDefault="004D4847" w:rsidP="004D4847">
      <w:pPr>
        <w:numPr>
          <w:ilvl w:val="1"/>
          <w:numId w:val="29"/>
        </w:numPr>
        <w:tabs>
          <w:tab w:val="left" w:pos="720"/>
        </w:tabs>
        <w:overflowPunct/>
        <w:autoSpaceDE/>
        <w:autoSpaceDN/>
        <w:adjustRightInd/>
        <w:spacing w:after="0"/>
        <w:textAlignment w:val="auto"/>
        <w:rPr>
          <w:rFonts w:eastAsia="MS Mincho"/>
          <w:szCs w:val="32"/>
          <w:lang w:eastAsia="ja-JP"/>
        </w:rPr>
      </w:pPr>
      <w:r w:rsidRPr="00500CA8">
        <w:rPr>
          <w:rFonts w:eastAsia="MS Mincho"/>
          <w:szCs w:val="32"/>
          <w:lang w:eastAsia="ja-JP"/>
        </w:rPr>
        <w:t>FFS whether the candidate beam(s) is</w:t>
      </w:r>
      <w:r w:rsidRPr="00500CA8">
        <w:rPr>
          <w:szCs w:val="32"/>
        </w:rPr>
        <w:t xml:space="preserve"> identified from a preconfigured set or not</w:t>
      </w:r>
    </w:p>
    <w:p w14:paraId="233C8F1B" w14:textId="77777777" w:rsidR="004D4847" w:rsidRPr="00500CA8" w:rsidRDefault="004D4847" w:rsidP="004D4847">
      <w:pPr>
        <w:numPr>
          <w:ilvl w:val="1"/>
          <w:numId w:val="29"/>
        </w:numPr>
        <w:tabs>
          <w:tab w:val="clear" w:pos="1440"/>
        </w:tabs>
        <w:overflowPunct/>
        <w:autoSpaceDE/>
        <w:autoSpaceDN/>
        <w:adjustRightInd/>
        <w:spacing w:after="0"/>
        <w:textAlignment w:val="auto"/>
        <w:rPr>
          <w:rFonts w:eastAsia="MS Mincho"/>
          <w:szCs w:val="32"/>
          <w:lang w:eastAsia="ja-JP"/>
        </w:rPr>
      </w:pPr>
      <w:r w:rsidRPr="00500CA8">
        <w:rPr>
          <w:rFonts w:eastAsia="MS Mincho"/>
          <w:szCs w:val="32"/>
          <w:lang w:eastAsia="ja-JP"/>
        </w:rPr>
        <w:t>Detection of a gNB’s response for beam failure recovery request during a time window is supported</w:t>
      </w:r>
    </w:p>
    <w:p w14:paraId="654AB6C7" w14:textId="77777777" w:rsidR="004D4847" w:rsidRPr="00500CA8" w:rsidRDefault="004D4847" w:rsidP="004D4847">
      <w:pPr>
        <w:numPr>
          <w:ilvl w:val="2"/>
          <w:numId w:val="29"/>
        </w:numPr>
        <w:overflowPunct/>
        <w:autoSpaceDE/>
        <w:autoSpaceDN/>
        <w:adjustRightInd/>
        <w:spacing w:after="0"/>
        <w:textAlignment w:val="auto"/>
        <w:rPr>
          <w:rFonts w:eastAsia="MS Mincho"/>
          <w:szCs w:val="32"/>
          <w:lang w:eastAsia="ja-JP"/>
        </w:rPr>
      </w:pPr>
      <w:r w:rsidRPr="00500CA8">
        <w:rPr>
          <w:rFonts w:eastAsia="MS Mincho"/>
          <w:szCs w:val="32"/>
          <w:lang w:eastAsia="ja-JP"/>
        </w:rPr>
        <w:t>FFS the time window is configured or pre-determined</w:t>
      </w:r>
    </w:p>
    <w:p w14:paraId="7E52E46E" w14:textId="77777777" w:rsidR="004D4847" w:rsidRPr="00500CA8" w:rsidRDefault="004D4847" w:rsidP="004D4847">
      <w:pPr>
        <w:numPr>
          <w:ilvl w:val="2"/>
          <w:numId w:val="29"/>
        </w:numPr>
        <w:overflowPunct/>
        <w:autoSpaceDE/>
        <w:autoSpaceDN/>
        <w:adjustRightInd/>
        <w:spacing w:after="0"/>
        <w:textAlignment w:val="auto"/>
        <w:rPr>
          <w:rFonts w:eastAsia="MS Mincho"/>
          <w:szCs w:val="32"/>
          <w:lang w:eastAsia="ja-JP"/>
        </w:rPr>
      </w:pPr>
      <w:r w:rsidRPr="00500CA8">
        <w:rPr>
          <w:rFonts w:eastAsia="MS Mincho"/>
          <w:szCs w:val="32"/>
          <w:lang w:eastAsia="ja-JP"/>
        </w:rPr>
        <w:t>FFS the number of monitoring occasions within the time window</w:t>
      </w:r>
    </w:p>
    <w:p w14:paraId="4D123EA1" w14:textId="77777777" w:rsidR="004D4847" w:rsidRPr="00500CA8" w:rsidRDefault="004D4847" w:rsidP="004D4847">
      <w:pPr>
        <w:numPr>
          <w:ilvl w:val="2"/>
          <w:numId w:val="29"/>
        </w:numPr>
        <w:overflowPunct/>
        <w:autoSpaceDE/>
        <w:autoSpaceDN/>
        <w:adjustRightInd/>
        <w:spacing w:after="0"/>
        <w:textAlignment w:val="auto"/>
        <w:rPr>
          <w:rFonts w:eastAsia="MS Mincho"/>
          <w:szCs w:val="32"/>
          <w:lang w:eastAsia="ja-JP"/>
        </w:rPr>
      </w:pPr>
      <w:r w:rsidRPr="00500CA8">
        <w:rPr>
          <w:rFonts w:eastAsia="MS Mincho"/>
          <w:szCs w:val="32"/>
          <w:lang w:eastAsia="ja-JP"/>
        </w:rPr>
        <w:t>FFS the size/location of the time window</w:t>
      </w:r>
    </w:p>
    <w:p w14:paraId="4FF98B44" w14:textId="77777777" w:rsidR="004D4847" w:rsidRPr="00500CA8" w:rsidRDefault="004D4847" w:rsidP="004D4847">
      <w:pPr>
        <w:numPr>
          <w:ilvl w:val="2"/>
          <w:numId w:val="29"/>
        </w:numPr>
        <w:overflowPunct/>
        <w:autoSpaceDE/>
        <w:autoSpaceDN/>
        <w:adjustRightInd/>
        <w:spacing w:after="0"/>
        <w:textAlignment w:val="auto"/>
        <w:rPr>
          <w:rFonts w:eastAsia="MS Mincho"/>
          <w:szCs w:val="32"/>
          <w:lang w:eastAsia="ja-JP"/>
        </w:rPr>
      </w:pPr>
      <w:r w:rsidRPr="00500CA8">
        <w:rPr>
          <w:rFonts w:eastAsia="MS Mincho"/>
          <w:szCs w:val="32"/>
          <w:lang w:eastAsia="ja-JP"/>
        </w:rPr>
        <w:t>If there is no response detected within the window, the UE may perform re-tx of the request</w:t>
      </w:r>
    </w:p>
    <w:p w14:paraId="3360954F" w14:textId="77777777" w:rsidR="004D4847" w:rsidRPr="00500CA8" w:rsidRDefault="004D4847" w:rsidP="004D4847">
      <w:pPr>
        <w:numPr>
          <w:ilvl w:val="3"/>
          <w:numId w:val="29"/>
        </w:numPr>
        <w:overflowPunct/>
        <w:autoSpaceDE/>
        <w:autoSpaceDN/>
        <w:adjustRightInd/>
        <w:spacing w:after="0"/>
        <w:textAlignment w:val="auto"/>
        <w:rPr>
          <w:rFonts w:eastAsia="MS Mincho"/>
          <w:szCs w:val="32"/>
          <w:lang w:eastAsia="ja-JP"/>
        </w:rPr>
      </w:pPr>
      <w:r w:rsidRPr="00500CA8">
        <w:rPr>
          <w:rFonts w:eastAsia="MS Mincho"/>
          <w:szCs w:val="32"/>
          <w:lang w:eastAsia="ja-JP"/>
        </w:rPr>
        <w:t>FFS details</w:t>
      </w:r>
    </w:p>
    <w:p w14:paraId="1B4CB6DE" w14:textId="77777777" w:rsidR="004D4847" w:rsidRPr="00500CA8" w:rsidRDefault="004D4847" w:rsidP="004D4847">
      <w:pPr>
        <w:numPr>
          <w:ilvl w:val="1"/>
          <w:numId w:val="29"/>
        </w:numPr>
        <w:tabs>
          <w:tab w:val="clear" w:pos="1440"/>
        </w:tabs>
        <w:overflowPunct/>
        <w:autoSpaceDE/>
        <w:autoSpaceDN/>
        <w:adjustRightInd/>
        <w:spacing w:after="0"/>
        <w:textAlignment w:val="auto"/>
        <w:rPr>
          <w:rFonts w:eastAsia="MS Mincho"/>
          <w:szCs w:val="32"/>
          <w:lang w:eastAsia="ja-JP"/>
        </w:rPr>
      </w:pPr>
      <w:r w:rsidRPr="00787355">
        <w:rPr>
          <w:rFonts w:eastAsia="MS Mincho"/>
          <w:szCs w:val="32"/>
          <w:highlight w:val="yellow"/>
          <w:lang w:eastAsia="ja-JP"/>
        </w:rPr>
        <w:t>If not detected after a certain number of transmission(s), UE notifies higher layer entities</w:t>
      </w:r>
    </w:p>
    <w:p w14:paraId="69101AD8" w14:textId="77777777" w:rsidR="004D4847" w:rsidRPr="00500CA8" w:rsidRDefault="004D4847" w:rsidP="004D4847">
      <w:pPr>
        <w:numPr>
          <w:ilvl w:val="2"/>
          <w:numId w:val="29"/>
        </w:numPr>
        <w:overflowPunct/>
        <w:autoSpaceDE/>
        <w:autoSpaceDN/>
        <w:adjustRightInd/>
        <w:spacing w:after="0"/>
        <w:textAlignment w:val="auto"/>
        <w:rPr>
          <w:rFonts w:eastAsia="MS Mincho"/>
          <w:szCs w:val="32"/>
          <w:lang w:eastAsia="ja-JP"/>
        </w:rPr>
      </w:pPr>
      <w:r w:rsidRPr="00500CA8">
        <w:rPr>
          <w:rFonts w:eastAsia="MS Mincho"/>
          <w:szCs w:val="32"/>
          <w:lang w:eastAsia="ja-JP"/>
        </w:rPr>
        <w:t xml:space="preserve">FFS the number of transmission(s) or possibly further in combination with or solely determined by a timer </w:t>
      </w:r>
    </w:p>
    <w:p w14:paraId="2BF7F6F5" w14:textId="77777777" w:rsidR="004D4847" w:rsidRDefault="004D4847" w:rsidP="00D11AD9">
      <w:pPr>
        <w:rPr>
          <w:lang w:val="en-GB"/>
        </w:rPr>
      </w:pPr>
    </w:p>
    <w:p w14:paraId="62B4332E" w14:textId="77777777" w:rsidR="00CB5708" w:rsidRPr="00943BB1" w:rsidRDefault="00CB5708" w:rsidP="00CB5708">
      <w:pPr>
        <w:rPr>
          <w:rFonts w:eastAsia="MS Mincho"/>
          <w:lang w:eastAsia="ja-JP"/>
        </w:rPr>
      </w:pPr>
      <w:r w:rsidRPr="00943BB1">
        <w:rPr>
          <w:rFonts w:eastAsia="MS Mincho"/>
          <w:highlight w:val="darkYellow"/>
          <w:lang w:eastAsia="ja-JP"/>
        </w:rPr>
        <w:t>Working assumption</w:t>
      </w:r>
      <w:r w:rsidRPr="00943BB1">
        <w:rPr>
          <w:rFonts w:eastAsia="MS Mincho"/>
          <w:lang w:eastAsia="ja-JP"/>
        </w:rPr>
        <w:t>:</w:t>
      </w:r>
    </w:p>
    <w:p w14:paraId="361C4BC5" w14:textId="77777777" w:rsidR="00CB5708" w:rsidRPr="00943BB1" w:rsidRDefault="00CB5708" w:rsidP="00CB5708">
      <w:pPr>
        <w:numPr>
          <w:ilvl w:val="0"/>
          <w:numId w:val="30"/>
        </w:numPr>
        <w:overflowPunct/>
        <w:autoSpaceDE/>
        <w:autoSpaceDN/>
        <w:adjustRightInd/>
        <w:spacing w:after="0"/>
        <w:textAlignment w:val="auto"/>
        <w:rPr>
          <w:rFonts w:eastAsia="MS Mincho"/>
          <w:lang w:eastAsia="ja-JP"/>
        </w:rPr>
      </w:pPr>
      <w:r w:rsidRPr="00943BB1">
        <w:rPr>
          <w:rFonts w:eastAsia="MS Mincho"/>
          <w:lang w:eastAsia="ja-JP"/>
        </w:rPr>
        <w:t>Support at least the following triggering condition(s) for beam failure recovery request transmission:</w:t>
      </w:r>
    </w:p>
    <w:p w14:paraId="76939928" w14:textId="77777777" w:rsidR="00CB5708" w:rsidRPr="00CB5708" w:rsidRDefault="00CB5708" w:rsidP="00CB5708">
      <w:pPr>
        <w:numPr>
          <w:ilvl w:val="1"/>
          <w:numId w:val="30"/>
        </w:numPr>
        <w:overflowPunct/>
        <w:autoSpaceDE/>
        <w:autoSpaceDN/>
        <w:adjustRightInd/>
        <w:spacing w:after="0"/>
        <w:textAlignment w:val="auto"/>
        <w:rPr>
          <w:rFonts w:eastAsia="MS Mincho"/>
          <w:highlight w:val="yellow"/>
          <w:lang w:eastAsia="ja-JP"/>
        </w:rPr>
      </w:pPr>
      <w:r w:rsidRPr="00CB5708">
        <w:rPr>
          <w:rFonts w:eastAsia="MS Mincho"/>
          <w:highlight w:val="yellow"/>
          <w:lang w:eastAsia="ja-JP"/>
        </w:rPr>
        <w:t>Condition 1: when beam failure is detected and candidate beam is identified at least for the case when only CSI-RS is used for new candidate beam identification</w:t>
      </w:r>
    </w:p>
    <w:p w14:paraId="17679682" w14:textId="77777777" w:rsidR="00CB5708" w:rsidRPr="00943BB1" w:rsidRDefault="00CB5708" w:rsidP="00CB5708">
      <w:pPr>
        <w:numPr>
          <w:ilvl w:val="1"/>
          <w:numId w:val="30"/>
        </w:numPr>
        <w:overflowPunct/>
        <w:autoSpaceDE/>
        <w:autoSpaceDN/>
        <w:adjustRightInd/>
        <w:spacing w:after="0"/>
        <w:textAlignment w:val="auto"/>
        <w:rPr>
          <w:rFonts w:eastAsia="MS Mincho"/>
          <w:lang w:eastAsia="ja-JP"/>
        </w:rPr>
      </w:pPr>
      <w:r w:rsidRPr="00943BB1">
        <w:rPr>
          <w:rFonts w:eastAsia="MS Mincho"/>
          <w:lang w:eastAsia="ja-JP"/>
        </w:rPr>
        <w:t>FFS Condition 2: Beam failure is detected alone at least for the case of no reciprocity</w:t>
      </w:r>
    </w:p>
    <w:p w14:paraId="7C05C02E" w14:textId="77777777" w:rsidR="00CB5708" w:rsidRPr="00943BB1" w:rsidRDefault="00CB5708" w:rsidP="00CB5708">
      <w:pPr>
        <w:numPr>
          <w:ilvl w:val="2"/>
          <w:numId w:val="30"/>
        </w:numPr>
        <w:overflowPunct/>
        <w:autoSpaceDE/>
        <w:autoSpaceDN/>
        <w:adjustRightInd/>
        <w:spacing w:after="0"/>
        <w:textAlignment w:val="auto"/>
        <w:rPr>
          <w:rFonts w:eastAsia="MS Mincho"/>
          <w:lang w:eastAsia="ja-JP"/>
        </w:rPr>
      </w:pPr>
      <w:r w:rsidRPr="00943BB1">
        <w:rPr>
          <w:rFonts w:eastAsia="MS Mincho"/>
          <w:lang w:eastAsia="ja-JP"/>
        </w:rPr>
        <w:t>FFS how the recovery request is transmitted without knowledge of candidate beam</w:t>
      </w:r>
    </w:p>
    <w:p w14:paraId="03AAA571" w14:textId="77777777" w:rsidR="00CB5708" w:rsidRPr="00943BB1" w:rsidRDefault="00CB5708" w:rsidP="00CB5708">
      <w:pPr>
        <w:numPr>
          <w:ilvl w:val="1"/>
          <w:numId w:val="30"/>
        </w:numPr>
        <w:overflowPunct/>
        <w:autoSpaceDE/>
        <w:autoSpaceDN/>
        <w:adjustRightInd/>
        <w:spacing w:after="0"/>
        <w:textAlignment w:val="auto"/>
        <w:rPr>
          <w:rFonts w:eastAsia="MS Mincho"/>
          <w:lang w:eastAsia="ja-JP"/>
        </w:rPr>
      </w:pPr>
      <w:r w:rsidRPr="00943BB1">
        <w:rPr>
          <w:rFonts w:eastAsia="MS Mincho"/>
          <w:lang w:eastAsia="ja-JP"/>
        </w:rPr>
        <w:t>Note: if both conditions are supported, which triggering condition to use by UE also depends on both gNB configuration and UE capability</w:t>
      </w:r>
    </w:p>
    <w:p w14:paraId="1DA148B4" w14:textId="77777777" w:rsidR="004D4847" w:rsidRDefault="004D4847" w:rsidP="00D11AD9">
      <w:pPr>
        <w:rPr>
          <w:lang w:val="en-GB"/>
        </w:rPr>
      </w:pPr>
    </w:p>
    <w:p w14:paraId="6C2B678C" w14:textId="499006C8" w:rsidR="00787355" w:rsidRDefault="00787355" w:rsidP="00D11AD9">
      <w:pPr>
        <w:rPr>
          <w:lang w:val="en-GB"/>
        </w:rPr>
      </w:pPr>
      <w:r>
        <w:rPr>
          <w:lang w:val="en-GB"/>
        </w:rPr>
        <w:t xml:space="preserve">Additionally, </w:t>
      </w:r>
      <w:r w:rsidR="00C30AC5">
        <w:rPr>
          <w:lang w:val="en-GB"/>
        </w:rPr>
        <w:t>the following agreements have been made at RAN1#89 regarding radio link monitoring and provision of IS/OOS indications to from layer 1 to layer 2:</w:t>
      </w:r>
    </w:p>
    <w:p w14:paraId="35CC1B03" w14:textId="77777777" w:rsidR="00C30AC5" w:rsidRPr="00C30AC5" w:rsidRDefault="00C30AC5" w:rsidP="00C30AC5">
      <w:pPr>
        <w:overflowPunct/>
        <w:autoSpaceDE/>
        <w:autoSpaceDN/>
        <w:adjustRightInd/>
        <w:spacing w:after="0"/>
        <w:textAlignment w:val="auto"/>
        <w:rPr>
          <w:rFonts w:ascii="Times" w:eastAsia="MS Mincho" w:hAnsi="Times"/>
          <w:b/>
          <w:sz w:val="20"/>
          <w:szCs w:val="24"/>
          <w:u w:val="single"/>
          <w:lang w:val="en-GB" w:eastAsia="ja-JP"/>
        </w:rPr>
      </w:pPr>
      <w:r w:rsidRPr="00C30AC5">
        <w:rPr>
          <w:rFonts w:ascii="Times" w:eastAsia="MS Mincho" w:hAnsi="Times" w:hint="eastAsia"/>
          <w:b/>
          <w:sz w:val="20"/>
          <w:szCs w:val="24"/>
          <w:highlight w:val="green"/>
          <w:u w:val="single"/>
          <w:lang w:val="en-GB" w:eastAsia="ja-JP"/>
        </w:rPr>
        <w:t>Agreements:</w:t>
      </w:r>
    </w:p>
    <w:p w14:paraId="72352538" w14:textId="77777777" w:rsidR="00C30AC5" w:rsidRPr="00C30AC5" w:rsidRDefault="00C30AC5" w:rsidP="00C30AC5">
      <w:pPr>
        <w:numPr>
          <w:ilvl w:val="0"/>
          <w:numId w:val="35"/>
        </w:numPr>
        <w:overflowPunct/>
        <w:autoSpaceDE/>
        <w:autoSpaceDN/>
        <w:adjustRightInd/>
        <w:spacing w:after="0"/>
        <w:textAlignment w:val="auto"/>
        <w:rPr>
          <w:rFonts w:ascii="Times" w:eastAsia="MS Mincho" w:hAnsi="Times"/>
          <w:sz w:val="20"/>
          <w:szCs w:val="24"/>
          <w:lang w:val="en-GB" w:eastAsia="ja-JP"/>
        </w:rPr>
      </w:pPr>
      <w:r w:rsidRPr="00C30AC5">
        <w:rPr>
          <w:rFonts w:ascii="Times" w:eastAsia="MS Mincho" w:hAnsi="Times" w:hint="eastAsia"/>
          <w:sz w:val="20"/>
          <w:szCs w:val="24"/>
          <w:lang w:val="en-GB" w:eastAsia="ja-JP"/>
        </w:rPr>
        <w:t xml:space="preserve">IS and OOS indications are based on SINR-like metric (e.g., </w:t>
      </w:r>
      <w:r w:rsidRPr="00C30AC5">
        <w:rPr>
          <w:rFonts w:ascii="Times" w:eastAsia="MS Mincho" w:hAnsi="Times"/>
          <w:sz w:val="20"/>
          <w:szCs w:val="24"/>
          <w:lang w:val="en-GB" w:eastAsia="ja-JP"/>
        </w:rPr>
        <w:t>hypothetical</w:t>
      </w:r>
      <w:r w:rsidRPr="00C30AC5">
        <w:rPr>
          <w:rFonts w:ascii="Times" w:eastAsia="MS Mincho" w:hAnsi="Times" w:hint="eastAsia"/>
          <w:sz w:val="20"/>
          <w:szCs w:val="24"/>
          <w:lang w:val="en-GB" w:eastAsia="ja-JP"/>
        </w:rPr>
        <w:t xml:space="preserve"> PDCCH BLER) as in LTE</w:t>
      </w:r>
    </w:p>
    <w:p w14:paraId="7BE1BB18" w14:textId="77777777" w:rsidR="00C30AC5" w:rsidRPr="00C30AC5" w:rsidRDefault="00C30AC5" w:rsidP="00C30AC5">
      <w:pPr>
        <w:numPr>
          <w:ilvl w:val="1"/>
          <w:numId w:val="35"/>
        </w:numPr>
        <w:overflowPunct/>
        <w:autoSpaceDE/>
        <w:autoSpaceDN/>
        <w:adjustRightInd/>
        <w:spacing w:after="0"/>
        <w:textAlignment w:val="auto"/>
        <w:rPr>
          <w:rFonts w:ascii="Times" w:eastAsia="MS Mincho" w:hAnsi="Times"/>
          <w:sz w:val="20"/>
          <w:szCs w:val="24"/>
          <w:lang w:val="en-GB" w:eastAsia="ja-JP"/>
        </w:rPr>
      </w:pPr>
      <w:r w:rsidRPr="00C30AC5">
        <w:rPr>
          <w:rFonts w:ascii="Times" w:eastAsia="MS Mincho" w:hAnsi="Times" w:hint="eastAsia"/>
          <w:sz w:val="20"/>
          <w:szCs w:val="24"/>
          <w:lang w:val="en-GB" w:eastAsia="ja-JP"/>
        </w:rPr>
        <w:t>SINR-like metric as in LTE represents whether or not UE can receive PDCCH</w:t>
      </w:r>
    </w:p>
    <w:p w14:paraId="1DD37B56" w14:textId="77777777" w:rsidR="00C30AC5" w:rsidRPr="00C30AC5" w:rsidRDefault="00C30AC5" w:rsidP="00C30AC5">
      <w:pPr>
        <w:numPr>
          <w:ilvl w:val="1"/>
          <w:numId w:val="35"/>
        </w:numPr>
        <w:overflowPunct/>
        <w:autoSpaceDE/>
        <w:autoSpaceDN/>
        <w:adjustRightInd/>
        <w:spacing w:after="0"/>
        <w:textAlignment w:val="auto"/>
        <w:rPr>
          <w:rFonts w:ascii="Times" w:eastAsia="MS Mincho" w:hAnsi="Times"/>
          <w:sz w:val="20"/>
          <w:szCs w:val="24"/>
          <w:lang w:val="en-GB" w:eastAsia="ja-JP"/>
        </w:rPr>
      </w:pPr>
      <w:r w:rsidRPr="00C30AC5">
        <w:rPr>
          <w:rFonts w:ascii="Times" w:eastAsia="MS Mincho" w:hAnsi="Times" w:hint="eastAsia"/>
          <w:sz w:val="20"/>
          <w:szCs w:val="24"/>
          <w:lang w:val="en-GB" w:eastAsia="ja-JP"/>
        </w:rPr>
        <w:t>FFS: PDCCH in U-SS and/or PDCCH in C-SS</w:t>
      </w:r>
    </w:p>
    <w:p w14:paraId="552F5035" w14:textId="77777777" w:rsidR="00C30AC5" w:rsidRPr="00C30AC5" w:rsidRDefault="00C30AC5" w:rsidP="00C30AC5">
      <w:pPr>
        <w:numPr>
          <w:ilvl w:val="0"/>
          <w:numId w:val="35"/>
        </w:numPr>
        <w:overflowPunct/>
        <w:autoSpaceDE/>
        <w:autoSpaceDN/>
        <w:adjustRightInd/>
        <w:spacing w:after="0"/>
        <w:textAlignment w:val="auto"/>
        <w:rPr>
          <w:rFonts w:ascii="Times" w:eastAsia="MS Mincho" w:hAnsi="Times"/>
          <w:sz w:val="20"/>
          <w:szCs w:val="24"/>
          <w:lang w:val="en-GB" w:eastAsia="ja-JP"/>
        </w:rPr>
      </w:pPr>
      <w:r w:rsidRPr="00C30AC5">
        <w:rPr>
          <w:rFonts w:ascii="Times" w:eastAsia="MS Mincho" w:hAnsi="Times" w:hint="eastAsia"/>
          <w:sz w:val="20"/>
          <w:szCs w:val="24"/>
          <w:lang w:val="en-GB" w:eastAsia="ja-JP"/>
        </w:rPr>
        <w:t>RS used to derive SINR-like metric is down selected from following options</w:t>
      </w:r>
    </w:p>
    <w:p w14:paraId="1324E36A" w14:textId="77777777" w:rsidR="00C30AC5" w:rsidRPr="00C30AC5" w:rsidRDefault="00C30AC5" w:rsidP="00C30AC5">
      <w:pPr>
        <w:numPr>
          <w:ilvl w:val="1"/>
          <w:numId w:val="35"/>
        </w:numPr>
        <w:overflowPunct/>
        <w:autoSpaceDE/>
        <w:autoSpaceDN/>
        <w:adjustRightInd/>
        <w:spacing w:after="0"/>
        <w:textAlignment w:val="auto"/>
        <w:rPr>
          <w:rFonts w:ascii="Times" w:eastAsia="MS Mincho" w:hAnsi="Times"/>
          <w:sz w:val="20"/>
          <w:szCs w:val="24"/>
          <w:lang w:val="en-GB" w:eastAsia="ja-JP"/>
        </w:rPr>
      </w:pPr>
      <w:r w:rsidRPr="00C30AC5">
        <w:rPr>
          <w:rFonts w:ascii="Times" w:eastAsia="MS Mincho" w:hAnsi="Times" w:hint="eastAsia"/>
          <w:sz w:val="20"/>
          <w:szCs w:val="24"/>
          <w:lang w:val="en-GB" w:eastAsia="ja-JP"/>
        </w:rPr>
        <w:t>Opt.1: CSI-RS</w:t>
      </w:r>
    </w:p>
    <w:p w14:paraId="09350B0A" w14:textId="77777777" w:rsidR="00C30AC5" w:rsidRPr="00C30AC5" w:rsidRDefault="00C30AC5" w:rsidP="00C30AC5">
      <w:pPr>
        <w:numPr>
          <w:ilvl w:val="1"/>
          <w:numId w:val="35"/>
        </w:numPr>
        <w:overflowPunct/>
        <w:autoSpaceDE/>
        <w:autoSpaceDN/>
        <w:adjustRightInd/>
        <w:spacing w:after="0"/>
        <w:textAlignment w:val="auto"/>
        <w:rPr>
          <w:rFonts w:ascii="Times" w:eastAsia="MS Mincho" w:hAnsi="Times"/>
          <w:sz w:val="20"/>
          <w:szCs w:val="24"/>
          <w:lang w:val="en-GB" w:eastAsia="ja-JP"/>
        </w:rPr>
      </w:pPr>
      <w:r w:rsidRPr="00C30AC5">
        <w:rPr>
          <w:rFonts w:ascii="Times" w:eastAsia="MS Mincho" w:hAnsi="Times" w:hint="eastAsia"/>
          <w:sz w:val="20"/>
          <w:szCs w:val="24"/>
          <w:lang w:val="en-GB" w:eastAsia="ja-JP"/>
        </w:rPr>
        <w:t>Opt.2: DMRS for NR-PDCCH in C-SS</w:t>
      </w:r>
    </w:p>
    <w:p w14:paraId="52F53495" w14:textId="77777777" w:rsidR="00C30AC5" w:rsidRPr="00C30AC5" w:rsidRDefault="00C30AC5" w:rsidP="00C30AC5">
      <w:pPr>
        <w:numPr>
          <w:ilvl w:val="1"/>
          <w:numId w:val="35"/>
        </w:numPr>
        <w:overflowPunct/>
        <w:autoSpaceDE/>
        <w:autoSpaceDN/>
        <w:adjustRightInd/>
        <w:spacing w:after="0"/>
        <w:textAlignment w:val="auto"/>
        <w:rPr>
          <w:rFonts w:ascii="Times" w:eastAsia="MS Mincho" w:hAnsi="Times"/>
          <w:sz w:val="20"/>
          <w:szCs w:val="24"/>
          <w:lang w:val="en-GB" w:eastAsia="ja-JP"/>
        </w:rPr>
      </w:pPr>
      <w:r w:rsidRPr="00C30AC5">
        <w:rPr>
          <w:rFonts w:ascii="Times" w:eastAsia="MS Mincho" w:hAnsi="Times" w:hint="eastAsia"/>
          <w:sz w:val="20"/>
          <w:szCs w:val="24"/>
          <w:lang w:val="en-GB" w:eastAsia="ja-JP"/>
        </w:rPr>
        <w:t>Opt.3: DMRS for NR-PBCH</w:t>
      </w:r>
    </w:p>
    <w:p w14:paraId="23EF0994" w14:textId="77777777" w:rsidR="00C30AC5" w:rsidRPr="00C30AC5" w:rsidRDefault="00C30AC5" w:rsidP="00C30AC5">
      <w:pPr>
        <w:numPr>
          <w:ilvl w:val="1"/>
          <w:numId w:val="35"/>
        </w:numPr>
        <w:overflowPunct/>
        <w:autoSpaceDE/>
        <w:autoSpaceDN/>
        <w:adjustRightInd/>
        <w:spacing w:after="0"/>
        <w:textAlignment w:val="auto"/>
        <w:rPr>
          <w:rFonts w:ascii="Times" w:eastAsia="MS Mincho" w:hAnsi="Times"/>
          <w:sz w:val="20"/>
          <w:szCs w:val="24"/>
          <w:lang w:val="en-GB" w:eastAsia="ja-JP"/>
        </w:rPr>
      </w:pPr>
      <w:r w:rsidRPr="00C30AC5">
        <w:rPr>
          <w:rFonts w:ascii="Times" w:eastAsia="MS Mincho" w:hAnsi="Times" w:hint="eastAsia"/>
          <w:sz w:val="20"/>
          <w:szCs w:val="24"/>
          <w:lang w:val="en-GB" w:eastAsia="ja-JP"/>
        </w:rPr>
        <w:t>Opt.4: NR-SSS</w:t>
      </w:r>
    </w:p>
    <w:p w14:paraId="244F3741" w14:textId="77777777" w:rsidR="00C30AC5" w:rsidRPr="00C30AC5" w:rsidRDefault="00C30AC5" w:rsidP="00C30AC5">
      <w:pPr>
        <w:numPr>
          <w:ilvl w:val="1"/>
          <w:numId w:val="35"/>
        </w:numPr>
        <w:overflowPunct/>
        <w:autoSpaceDE/>
        <w:autoSpaceDN/>
        <w:adjustRightInd/>
        <w:spacing w:after="0"/>
        <w:textAlignment w:val="auto"/>
        <w:rPr>
          <w:rFonts w:ascii="Times" w:eastAsia="MS Mincho" w:hAnsi="Times"/>
          <w:sz w:val="20"/>
          <w:szCs w:val="24"/>
          <w:lang w:val="en-GB" w:eastAsia="ja-JP"/>
        </w:rPr>
      </w:pPr>
      <w:r w:rsidRPr="00C30AC5">
        <w:rPr>
          <w:rFonts w:ascii="Times" w:eastAsia="MS Mincho" w:hAnsi="Times" w:hint="eastAsia"/>
          <w:sz w:val="20"/>
          <w:szCs w:val="24"/>
          <w:lang w:val="en-GB" w:eastAsia="ja-JP"/>
        </w:rPr>
        <w:t>Opt.5: RS for time/frequency tracking (if separate RS from above is defined for time/frequency tracking)</w:t>
      </w:r>
    </w:p>
    <w:p w14:paraId="0E076CD7" w14:textId="77777777" w:rsidR="00C30AC5" w:rsidRPr="00C30AC5" w:rsidRDefault="00C30AC5" w:rsidP="00C30AC5">
      <w:pPr>
        <w:numPr>
          <w:ilvl w:val="1"/>
          <w:numId w:val="35"/>
        </w:numPr>
        <w:overflowPunct/>
        <w:autoSpaceDE/>
        <w:autoSpaceDN/>
        <w:adjustRightInd/>
        <w:spacing w:after="0"/>
        <w:textAlignment w:val="auto"/>
        <w:rPr>
          <w:rFonts w:ascii="Times" w:eastAsia="MS Mincho" w:hAnsi="Times"/>
          <w:sz w:val="20"/>
          <w:szCs w:val="24"/>
          <w:lang w:val="en-GB" w:eastAsia="ja-JP"/>
        </w:rPr>
      </w:pPr>
      <w:r w:rsidRPr="00C30AC5">
        <w:rPr>
          <w:rFonts w:ascii="Times" w:eastAsia="MS Mincho" w:hAnsi="Times" w:hint="eastAsia"/>
          <w:sz w:val="20"/>
          <w:szCs w:val="24"/>
          <w:lang w:val="en-GB" w:eastAsia="ja-JP"/>
        </w:rPr>
        <w:t>FFS: how many options are used</w:t>
      </w:r>
    </w:p>
    <w:p w14:paraId="4DE73EBC" w14:textId="77777777" w:rsidR="00C30AC5" w:rsidRPr="00C30AC5" w:rsidRDefault="00C30AC5" w:rsidP="00C30AC5">
      <w:pPr>
        <w:numPr>
          <w:ilvl w:val="0"/>
          <w:numId w:val="35"/>
        </w:numPr>
        <w:overflowPunct/>
        <w:autoSpaceDE/>
        <w:autoSpaceDN/>
        <w:adjustRightInd/>
        <w:spacing w:after="0"/>
        <w:textAlignment w:val="auto"/>
        <w:rPr>
          <w:rFonts w:ascii="Times" w:eastAsia="MS Mincho" w:hAnsi="Times"/>
          <w:sz w:val="20"/>
          <w:szCs w:val="24"/>
          <w:lang w:val="en-GB" w:eastAsia="ja-JP"/>
        </w:rPr>
      </w:pPr>
      <w:r w:rsidRPr="00C30AC5">
        <w:rPr>
          <w:rFonts w:ascii="Times" w:eastAsia="MS Mincho" w:hAnsi="Times" w:hint="eastAsia"/>
          <w:sz w:val="20"/>
          <w:szCs w:val="24"/>
          <w:lang w:val="en-GB" w:eastAsia="ja-JP"/>
        </w:rPr>
        <w:t>RAN1 assumes that single IS or OOS is indicated per reporting instance regardless number of beams available in cell. RAN1 has not concluded whether IS/OOS indications for RLF are per cell or not.</w:t>
      </w:r>
    </w:p>
    <w:p w14:paraId="3B5E88D7" w14:textId="77777777" w:rsidR="00C30AC5" w:rsidRPr="00C30AC5" w:rsidRDefault="00C30AC5" w:rsidP="00C30AC5">
      <w:pPr>
        <w:numPr>
          <w:ilvl w:val="0"/>
          <w:numId w:val="35"/>
        </w:numPr>
        <w:overflowPunct/>
        <w:autoSpaceDE/>
        <w:autoSpaceDN/>
        <w:adjustRightInd/>
        <w:spacing w:after="0"/>
        <w:textAlignment w:val="auto"/>
        <w:rPr>
          <w:rFonts w:ascii="Times" w:eastAsia="MS Mincho" w:hAnsi="Times"/>
          <w:sz w:val="20"/>
          <w:szCs w:val="24"/>
          <w:lang w:val="en-GB" w:eastAsia="ja-JP"/>
        </w:rPr>
      </w:pPr>
      <w:r w:rsidRPr="00C30AC5">
        <w:rPr>
          <w:rFonts w:ascii="Times" w:eastAsia="MS Mincho" w:hAnsi="Times" w:hint="eastAsia"/>
          <w:sz w:val="20"/>
          <w:szCs w:val="24"/>
          <w:lang w:val="en-GB" w:eastAsia="ja-JP"/>
        </w:rPr>
        <w:t>RAN1 plans to provide at least periodic IS/OOS indications.</w:t>
      </w:r>
    </w:p>
    <w:p w14:paraId="34B47214" w14:textId="77777777" w:rsidR="00C30AC5" w:rsidRPr="00C30AC5" w:rsidRDefault="00C30AC5" w:rsidP="00C30AC5">
      <w:pPr>
        <w:numPr>
          <w:ilvl w:val="1"/>
          <w:numId w:val="35"/>
        </w:numPr>
        <w:overflowPunct/>
        <w:autoSpaceDE/>
        <w:autoSpaceDN/>
        <w:adjustRightInd/>
        <w:spacing w:after="0"/>
        <w:textAlignment w:val="auto"/>
        <w:rPr>
          <w:rFonts w:ascii="Times" w:eastAsia="MS Mincho" w:hAnsi="Times"/>
          <w:sz w:val="20"/>
          <w:szCs w:val="24"/>
          <w:lang w:val="en-GB" w:eastAsia="ja-JP"/>
        </w:rPr>
      </w:pPr>
      <w:r w:rsidRPr="00C30AC5">
        <w:rPr>
          <w:rFonts w:ascii="Times" w:eastAsia="MS Mincho" w:hAnsi="Times" w:hint="eastAsia"/>
          <w:sz w:val="20"/>
          <w:szCs w:val="24"/>
          <w:lang w:val="en-GB" w:eastAsia="ja-JP"/>
        </w:rPr>
        <w:t>FFS: possibility of additional aperiodic IS indication e.g., based on beam failure recovery mechanism.</w:t>
      </w:r>
    </w:p>
    <w:p w14:paraId="0989382B" w14:textId="77777777" w:rsidR="00C30AC5" w:rsidRPr="00C30AC5" w:rsidRDefault="00C30AC5" w:rsidP="00C30AC5">
      <w:pPr>
        <w:overflowPunct/>
        <w:autoSpaceDE/>
        <w:autoSpaceDN/>
        <w:adjustRightInd/>
        <w:spacing w:after="0"/>
        <w:textAlignment w:val="auto"/>
        <w:rPr>
          <w:rFonts w:ascii="Times" w:eastAsia="MS Mincho" w:hAnsi="Times"/>
          <w:sz w:val="20"/>
          <w:szCs w:val="24"/>
          <w:lang w:val="en-GB" w:eastAsia="ja-JP"/>
        </w:rPr>
      </w:pPr>
    </w:p>
    <w:p w14:paraId="703C875C" w14:textId="77777777" w:rsidR="00C30AC5" w:rsidRPr="00C30AC5" w:rsidRDefault="00C30AC5" w:rsidP="00C30AC5">
      <w:pPr>
        <w:overflowPunct/>
        <w:autoSpaceDE/>
        <w:autoSpaceDN/>
        <w:adjustRightInd/>
        <w:spacing w:after="0"/>
        <w:textAlignment w:val="auto"/>
        <w:rPr>
          <w:rFonts w:ascii="Times" w:eastAsia="MS Mincho" w:hAnsi="Times"/>
          <w:b/>
          <w:sz w:val="20"/>
          <w:szCs w:val="24"/>
          <w:u w:val="single"/>
          <w:lang w:val="en-GB" w:eastAsia="ja-JP"/>
        </w:rPr>
      </w:pPr>
      <w:r w:rsidRPr="00C30AC5">
        <w:rPr>
          <w:rFonts w:ascii="Times" w:eastAsia="MS Mincho" w:hAnsi="Times" w:hint="eastAsia"/>
          <w:b/>
          <w:sz w:val="20"/>
          <w:szCs w:val="24"/>
          <w:highlight w:val="green"/>
          <w:u w:val="single"/>
          <w:lang w:val="en-GB" w:eastAsia="ja-JP"/>
        </w:rPr>
        <w:t>Agreements of proposed reply to RAN2:</w:t>
      </w:r>
    </w:p>
    <w:p w14:paraId="5D21C809" w14:textId="77777777" w:rsidR="00C30AC5" w:rsidRPr="00C30AC5" w:rsidRDefault="00C30AC5" w:rsidP="00C30AC5">
      <w:pPr>
        <w:overflowPunct/>
        <w:autoSpaceDE/>
        <w:autoSpaceDN/>
        <w:adjustRightInd/>
        <w:spacing w:after="0"/>
        <w:textAlignment w:val="auto"/>
        <w:rPr>
          <w:rFonts w:ascii="Times" w:eastAsia="MS Mincho" w:hAnsi="Times"/>
          <w:i/>
          <w:sz w:val="20"/>
          <w:szCs w:val="24"/>
          <w:lang w:val="en-GB" w:eastAsia="ja-JP"/>
        </w:rPr>
      </w:pPr>
      <w:r w:rsidRPr="00C30AC5">
        <w:rPr>
          <w:rFonts w:ascii="Times" w:eastAsia="MS Mincho" w:hAnsi="Times" w:hint="eastAsia"/>
          <w:b/>
          <w:i/>
          <w:sz w:val="20"/>
          <w:szCs w:val="24"/>
          <w:lang w:val="en-GB" w:eastAsia="ja-JP"/>
        </w:rPr>
        <w:t>Q</w:t>
      </w:r>
      <w:r w:rsidRPr="00C30AC5">
        <w:rPr>
          <w:rFonts w:ascii="Times" w:eastAsia="MS Mincho" w:hAnsi="Times"/>
          <w:b/>
          <w:i/>
          <w:sz w:val="20"/>
          <w:szCs w:val="24"/>
          <w:lang w:val="en-GB" w:eastAsia="ja-JP"/>
        </w:rPr>
        <w:t>1</w:t>
      </w:r>
      <w:r w:rsidRPr="00C30AC5">
        <w:rPr>
          <w:rFonts w:ascii="Times" w:eastAsia="MS Mincho" w:hAnsi="Times" w:hint="eastAsia"/>
          <w:b/>
          <w:i/>
          <w:sz w:val="20"/>
          <w:szCs w:val="24"/>
          <w:lang w:val="en-GB" w:eastAsia="ja-JP"/>
        </w:rPr>
        <w:t>:</w:t>
      </w:r>
      <w:r w:rsidRPr="00C30AC5">
        <w:rPr>
          <w:rFonts w:ascii="Times" w:eastAsia="MS Mincho" w:hAnsi="Times"/>
          <w:i/>
          <w:sz w:val="20"/>
          <w:szCs w:val="24"/>
          <w:lang w:val="en-GB" w:eastAsia="ja-JP"/>
        </w:rPr>
        <w:t xml:space="preserve"> Can the in-sync/out-of-sync indications for RLF be provided per cell?</w:t>
      </w:r>
    </w:p>
    <w:p w14:paraId="7403E598" w14:textId="574E323B" w:rsidR="00C30AC5" w:rsidRPr="00C30AC5" w:rsidRDefault="009739C0" w:rsidP="00C30AC5">
      <w:pPr>
        <w:overflowPunct/>
        <w:autoSpaceDE/>
        <w:autoSpaceDN/>
        <w:adjustRightInd/>
        <w:spacing w:after="0"/>
        <w:textAlignment w:val="auto"/>
        <w:rPr>
          <w:rFonts w:ascii="Times" w:eastAsia="MS Mincho" w:hAnsi="Times"/>
          <w:sz w:val="20"/>
          <w:szCs w:val="24"/>
          <w:lang w:val="en-GB" w:eastAsia="ja-JP"/>
        </w:rPr>
      </w:pPr>
      <w:r>
        <w:rPr>
          <w:rFonts w:ascii="Times" w:eastAsia="MS Mincho" w:hAnsi="Times"/>
          <w:sz w:val="20"/>
          <w:szCs w:val="24"/>
          <w:lang w:val="en-GB" w:eastAsia="ja-JP"/>
        </w:rPr>
        <w:t xml:space="preserve"> </w:t>
      </w:r>
    </w:p>
    <w:p w14:paraId="548C00BD" w14:textId="77777777" w:rsidR="00C30AC5" w:rsidRPr="00C30AC5" w:rsidRDefault="00C30AC5" w:rsidP="00C30AC5">
      <w:pPr>
        <w:overflowPunct/>
        <w:autoSpaceDE/>
        <w:autoSpaceDN/>
        <w:adjustRightInd/>
        <w:spacing w:after="0"/>
        <w:textAlignment w:val="auto"/>
        <w:rPr>
          <w:rFonts w:ascii="Times" w:eastAsia="MS Mincho" w:hAnsi="Times"/>
          <w:sz w:val="20"/>
          <w:szCs w:val="24"/>
          <w:lang w:val="en-GB" w:eastAsia="ja-JP"/>
        </w:rPr>
      </w:pPr>
      <w:r w:rsidRPr="00C30AC5">
        <w:rPr>
          <w:rFonts w:ascii="Times" w:eastAsia="MS Mincho" w:hAnsi="Times" w:hint="eastAsia"/>
          <w:sz w:val="20"/>
          <w:szCs w:val="24"/>
          <w:lang w:val="en-GB" w:eastAsia="ja-JP"/>
        </w:rPr>
        <w:lastRenderedPageBreak/>
        <w:t>A1: RAN1 assumes that single IS or OOS is indicated per reporting instance regardless number of beams available in cell. RAN1 has not concluded whether IS/OOS indications for RLF are per cell or not.</w:t>
      </w:r>
    </w:p>
    <w:p w14:paraId="1A052AB4" w14:textId="77777777" w:rsidR="00C30AC5" w:rsidRPr="00C30AC5" w:rsidRDefault="00C30AC5" w:rsidP="00C30AC5">
      <w:pPr>
        <w:overflowPunct/>
        <w:autoSpaceDE/>
        <w:autoSpaceDN/>
        <w:adjustRightInd/>
        <w:spacing w:after="0"/>
        <w:textAlignment w:val="auto"/>
        <w:rPr>
          <w:rFonts w:ascii="Times" w:eastAsia="MS Mincho" w:hAnsi="Times"/>
          <w:sz w:val="20"/>
          <w:szCs w:val="24"/>
          <w:lang w:val="en-GB" w:eastAsia="ja-JP"/>
        </w:rPr>
      </w:pPr>
    </w:p>
    <w:p w14:paraId="5343FF46" w14:textId="77777777" w:rsidR="00C30AC5" w:rsidRPr="00C30AC5" w:rsidRDefault="00C30AC5" w:rsidP="00C30AC5">
      <w:pPr>
        <w:overflowPunct/>
        <w:autoSpaceDE/>
        <w:autoSpaceDN/>
        <w:adjustRightInd/>
        <w:spacing w:after="0"/>
        <w:textAlignment w:val="auto"/>
        <w:rPr>
          <w:rFonts w:ascii="Times" w:eastAsia="MS Mincho" w:hAnsi="Times"/>
          <w:i/>
          <w:sz w:val="20"/>
          <w:szCs w:val="24"/>
          <w:lang w:val="en-GB" w:eastAsia="ja-JP"/>
        </w:rPr>
      </w:pPr>
      <w:r w:rsidRPr="00C30AC5">
        <w:rPr>
          <w:rFonts w:ascii="Times" w:eastAsia="MS Mincho" w:hAnsi="Times" w:hint="eastAsia"/>
          <w:b/>
          <w:i/>
          <w:sz w:val="20"/>
          <w:szCs w:val="24"/>
          <w:lang w:val="en-GB" w:eastAsia="ja-JP"/>
        </w:rPr>
        <w:t>Q</w:t>
      </w:r>
      <w:r w:rsidRPr="00C30AC5">
        <w:rPr>
          <w:rFonts w:ascii="Times" w:eastAsia="MS Mincho" w:hAnsi="Times"/>
          <w:b/>
          <w:i/>
          <w:sz w:val="20"/>
          <w:szCs w:val="24"/>
          <w:lang w:val="en-GB" w:eastAsia="ja-JP"/>
        </w:rPr>
        <w:t>2</w:t>
      </w:r>
      <w:r w:rsidRPr="00C30AC5">
        <w:rPr>
          <w:rFonts w:ascii="Times" w:eastAsia="MS Mincho" w:hAnsi="Times" w:hint="eastAsia"/>
          <w:b/>
          <w:i/>
          <w:sz w:val="20"/>
          <w:szCs w:val="24"/>
          <w:lang w:val="en-GB" w:eastAsia="ja-JP"/>
        </w:rPr>
        <w:t>:</w:t>
      </w:r>
      <w:r w:rsidRPr="00C30AC5">
        <w:rPr>
          <w:rFonts w:ascii="Times" w:eastAsia="MS Mincho" w:hAnsi="Times" w:hint="eastAsia"/>
          <w:i/>
          <w:sz w:val="20"/>
          <w:szCs w:val="24"/>
          <w:lang w:val="en-GB" w:eastAsia="ja-JP"/>
        </w:rPr>
        <w:t xml:space="preserve"> </w:t>
      </w:r>
      <w:r w:rsidRPr="00C30AC5">
        <w:rPr>
          <w:rFonts w:ascii="Times" w:eastAsia="MS Mincho" w:hAnsi="Times"/>
          <w:i/>
          <w:sz w:val="20"/>
          <w:szCs w:val="24"/>
          <w:lang w:val="en-GB" w:eastAsia="ja-JP"/>
        </w:rPr>
        <w:t>Is RAN1 planning to provide in-sync/out-of-sync indications that are periodic (similar to LTE)?</w:t>
      </w:r>
    </w:p>
    <w:p w14:paraId="72A50FFF" w14:textId="77777777" w:rsidR="00C30AC5" w:rsidRPr="00C30AC5" w:rsidRDefault="00C30AC5" w:rsidP="00C30AC5">
      <w:pPr>
        <w:overflowPunct/>
        <w:autoSpaceDE/>
        <w:autoSpaceDN/>
        <w:adjustRightInd/>
        <w:spacing w:after="0"/>
        <w:textAlignment w:val="auto"/>
        <w:rPr>
          <w:rFonts w:ascii="Times" w:eastAsia="MS Mincho" w:hAnsi="Times"/>
          <w:sz w:val="20"/>
          <w:szCs w:val="24"/>
          <w:lang w:val="en-GB" w:eastAsia="ja-JP"/>
        </w:rPr>
      </w:pPr>
    </w:p>
    <w:p w14:paraId="4163953C" w14:textId="77777777" w:rsidR="00C30AC5" w:rsidRPr="00C30AC5" w:rsidRDefault="00C30AC5" w:rsidP="00C30AC5">
      <w:pPr>
        <w:overflowPunct/>
        <w:autoSpaceDE/>
        <w:autoSpaceDN/>
        <w:adjustRightInd/>
        <w:spacing w:after="0"/>
        <w:textAlignment w:val="auto"/>
        <w:rPr>
          <w:rFonts w:ascii="Times" w:eastAsia="MS Mincho" w:hAnsi="Times"/>
          <w:sz w:val="20"/>
          <w:szCs w:val="24"/>
          <w:lang w:val="en-GB" w:eastAsia="ja-JP"/>
        </w:rPr>
      </w:pPr>
      <w:r w:rsidRPr="00C30AC5">
        <w:rPr>
          <w:rFonts w:ascii="Times" w:eastAsia="MS Mincho" w:hAnsi="Times" w:hint="eastAsia"/>
          <w:sz w:val="20"/>
          <w:szCs w:val="24"/>
          <w:lang w:val="en-GB" w:eastAsia="ja-JP"/>
        </w:rPr>
        <w:t>A2: RAN1 plans to provide at least periodic IS/OOS indications.</w:t>
      </w:r>
    </w:p>
    <w:p w14:paraId="35610883" w14:textId="7880DE0F" w:rsidR="00C30AC5" w:rsidRDefault="00C30AC5" w:rsidP="00D11AD9">
      <w:pPr>
        <w:rPr>
          <w:lang w:val="en-GB"/>
        </w:rPr>
      </w:pPr>
    </w:p>
    <w:p w14:paraId="16C752DE" w14:textId="77777777" w:rsidR="00BE2BF0" w:rsidRDefault="00C30AC5" w:rsidP="00D11AD9">
      <w:pPr>
        <w:rPr>
          <w:lang w:val="en-GB"/>
        </w:rPr>
      </w:pPr>
      <w:r>
        <w:rPr>
          <w:lang w:val="en-GB"/>
        </w:rPr>
        <w:t xml:space="preserve">The above listed agreements on beam failure recovery mechanism and radio link monitoring may allow RAN2 to make progress on </w:t>
      </w:r>
      <w:r w:rsidR="009739C0">
        <w:rPr>
          <w:lang w:val="en-GB"/>
        </w:rPr>
        <w:t>an overall framework that ties RLM, beam failure recovery</w:t>
      </w:r>
      <w:r w:rsidR="001215A0">
        <w:rPr>
          <w:lang w:val="en-GB"/>
        </w:rPr>
        <w:t xml:space="preserve"> mechanism</w:t>
      </w:r>
      <w:r w:rsidR="00BE2BF0">
        <w:rPr>
          <w:lang w:val="en-GB"/>
        </w:rPr>
        <w:t xml:space="preserve">, and RLF. </w:t>
      </w:r>
    </w:p>
    <w:p w14:paraId="67ABC387" w14:textId="7D3FE1D3" w:rsidR="00BE2BF0" w:rsidRDefault="009739C0" w:rsidP="00D11AD9">
      <w:pPr>
        <w:rPr>
          <w:lang w:val="en-GB"/>
        </w:rPr>
      </w:pPr>
      <w:r>
        <w:rPr>
          <w:lang w:val="en-GB"/>
        </w:rPr>
        <w:t xml:space="preserve"> </w:t>
      </w:r>
    </w:p>
    <w:p w14:paraId="66EDBC53" w14:textId="77777777" w:rsidR="00BE2BF0" w:rsidRDefault="00BE2BF0" w:rsidP="00BE2BF0">
      <w:pPr>
        <w:pStyle w:val="Heading1"/>
        <w:rPr>
          <w:rFonts w:eastAsia="Times New Roman"/>
          <w:b/>
        </w:rPr>
      </w:pPr>
      <w:r>
        <w:rPr>
          <w:b/>
        </w:rPr>
        <w:t>Beam Failure and Radio Link Failure (RLF)</w:t>
      </w:r>
    </w:p>
    <w:p w14:paraId="495EA547" w14:textId="77777777" w:rsidR="00BE2BF0" w:rsidRDefault="00BE2BF0" w:rsidP="00BE2BF0">
      <w:pPr>
        <w:pStyle w:val="maintext"/>
        <w:ind w:firstLineChars="0" w:firstLine="0"/>
        <w:rPr>
          <w:rFonts w:ascii="Calibri" w:hAnsi="Calibri"/>
        </w:rPr>
      </w:pPr>
      <w:r>
        <w:rPr>
          <w:rFonts w:ascii="Calibri" w:hAnsi="Calibri"/>
        </w:rPr>
        <w:t xml:space="preserve">MmWave frequencies present a unique challenge for operating NR networks. The mmWave channel experienced by a UE may suffer from blockage events that could result in sudden sharp drops in signal strength (of the order of 30 dB) due to physical objects blocking the UE-TRP link. </w:t>
      </w:r>
    </w:p>
    <w:p w14:paraId="4EF77F91" w14:textId="7BD5005C" w:rsidR="00BE2BF0" w:rsidRDefault="00BE2BF0" w:rsidP="00BE2BF0">
      <w:pPr>
        <w:pStyle w:val="maintext"/>
        <w:ind w:firstLineChars="0" w:firstLine="0"/>
        <w:jc w:val="center"/>
        <w:rPr>
          <w:rFonts w:ascii="Calibri" w:hAnsi="Calibri"/>
        </w:rPr>
      </w:pPr>
      <w:r>
        <w:rPr>
          <w:rFonts w:ascii="Calibri" w:hAnsi="Calibri"/>
          <w:noProof/>
          <w:lang w:val="en-US" w:eastAsia="en-US"/>
        </w:rPr>
        <w:drawing>
          <wp:inline distT="0" distB="0" distL="0" distR="0" wp14:anchorId="4C5012D2" wp14:editId="30B3C68E">
            <wp:extent cx="3277870" cy="18288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277870" cy="1828800"/>
                    </a:xfrm>
                    <a:prstGeom prst="rect">
                      <a:avLst/>
                    </a:prstGeom>
                    <a:noFill/>
                    <a:ln>
                      <a:noFill/>
                    </a:ln>
                  </pic:spPr>
                </pic:pic>
              </a:graphicData>
            </a:graphic>
          </wp:inline>
        </w:drawing>
      </w:r>
    </w:p>
    <w:p w14:paraId="07E5B14D" w14:textId="77777777" w:rsidR="00BE2BF0" w:rsidRDefault="00BE2BF0" w:rsidP="00BE2BF0">
      <w:pPr>
        <w:pStyle w:val="maintext"/>
        <w:ind w:firstLineChars="0" w:firstLine="0"/>
        <w:jc w:val="center"/>
        <w:rPr>
          <w:rFonts w:ascii="Calibri" w:hAnsi="Calibri"/>
          <w:b/>
        </w:rPr>
      </w:pPr>
      <w:r>
        <w:rPr>
          <w:rFonts w:ascii="Calibri" w:hAnsi="Calibri"/>
          <w:b/>
        </w:rPr>
        <w:t>Figure 1: Beam Failure Due to Blockage from a Vehicle</w:t>
      </w:r>
    </w:p>
    <w:p w14:paraId="11CF7F5D" w14:textId="77777777" w:rsidR="00BE2BF0" w:rsidRDefault="00BE2BF0" w:rsidP="00BE2BF0">
      <w:pPr>
        <w:pStyle w:val="maintext"/>
        <w:ind w:firstLineChars="0" w:firstLine="0"/>
        <w:rPr>
          <w:rFonts w:ascii="Calibri" w:hAnsi="Calibri"/>
        </w:rPr>
      </w:pPr>
      <w:r>
        <w:rPr>
          <w:rFonts w:ascii="Calibri" w:hAnsi="Calibri"/>
        </w:rPr>
        <w:t xml:space="preserve">When a beam that is serving a UE experiences blockage, the UE may experience beam failure. As stated in TR 38.912-100, section 8.2.1.6.1, </w:t>
      </w:r>
    </w:p>
    <w:p w14:paraId="6055C296" w14:textId="77777777" w:rsidR="00BE2BF0" w:rsidRDefault="00BE2BF0" w:rsidP="00BE2BF0">
      <w:pPr>
        <w:pStyle w:val="maintext"/>
        <w:pBdr>
          <w:top w:val="single" w:sz="4" w:space="1" w:color="auto"/>
          <w:left w:val="single" w:sz="4" w:space="4" w:color="auto"/>
          <w:bottom w:val="single" w:sz="4" w:space="1" w:color="auto"/>
          <w:right w:val="single" w:sz="4" w:space="4" w:color="auto"/>
        </w:pBdr>
        <w:ind w:firstLineChars="0" w:firstLine="0"/>
        <w:rPr>
          <w:rFonts w:ascii="Calibri" w:hAnsi="Calibri"/>
        </w:rPr>
      </w:pPr>
      <w:r>
        <w:rPr>
          <w:lang w:val="en-US" w:eastAsia="ja-JP"/>
        </w:rPr>
        <w:t>NR supports that UE can trigger mechanism to recover from beam failure. Beam failure event occurs when the quality of beam pair link(s) of an associated control channel falls low enough (e.g. comparison with a threshold, time-out of an associated timer). Mechanism to recover from beam failure is triggered when beam failure occurs.</w:t>
      </w:r>
    </w:p>
    <w:p w14:paraId="5516F059" w14:textId="77777777" w:rsidR="00BE2BF0" w:rsidRDefault="00BE2BF0" w:rsidP="00BE2BF0">
      <w:pPr>
        <w:pStyle w:val="maintext"/>
        <w:ind w:firstLineChars="0" w:firstLine="0"/>
        <w:rPr>
          <w:rFonts w:ascii="Calibri" w:hAnsi="Calibri"/>
        </w:rPr>
      </w:pPr>
    </w:p>
    <w:p w14:paraId="6C0F69D6" w14:textId="77777777" w:rsidR="00BE2BF0" w:rsidRDefault="00BE2BF0" w:rsidP="00BE2BF0">
      <w:pPr>
        <w:pStyle w:val="maintext"/>
        <w:pBdr>
          <w:top w:val="single" w:sz="4" w:space="1" w:color="auto"/>
          <w:left w:val="single" w:sz="4" w:space="4" w:color="auto"/>
          <w:bottom w:val="single" w:sz="4" w:space="1" w:color="auto"/>
          <w:right w:val="single" w:sz="4" w:space="4" w:color="auto"/>
        </w:pBdr>
        <w:ind w:firstLineChars="0" w:firstLine="0"/>
        <w:rPr>
          <w:rFonts w:ascii="Calibri" w:hAnsi="Calibri"/>
        </w:rPr>
      </w:pPr>
      <w:r>
        <w:rPr>
          <w:lang w:val="en-US" w:eastAsia="ja-JP"/>
        </w:rPr>
        <w:t xml:space="preserve">For NR-PDCCH transmission supporting robustness against beam pair link blocking, UE can be configured to monitor NR-PDCCH on </w:t>
      </w:r>
      <w:r>
        <w:rPr>
          <w:i/>
          <w:lang w:val="en-US" w:eastAsia="ja-JP"/>
        </w:rPr>
        <w:t>M</w:t>
      </w:r>
      <w:r>
        <w:rPr>
          <w:lang w:val="en-US" w:eastAsia="ja-JP"/>
        </w:rPr>
        <w:t xml:space="preserve"> beam pair links simultaneously, where M≥1 and the maximum value of </w:t>
      </w:r>
      <w:r>
        <w:rPr>
          <w:i/>
          <w:lang w:val="en-US" w:eastAsia="ja-JP"/>
        </w:rPr>
        <w:t>M</w:t>
      </w:r>
      <w:r>
        <w:rPr>
          <w:lang w:val="en-US" w:eastAsia="ja-JP"/>
        </w:rPr>
        <w:t xml:space="preserve"> may depend at least on UE capability.</w:t>
      </w:r>
    </w:p>
    <w:p w14:paraId="265C18FA" w14:textId="77777777" w:rsidR="00BE2BF0" w:rsidRDefault="00BE2BF0" w:rsidP="00BE2BF0">
      <w:pPr>
        <w:pStyle w:val="maintext"/>
        <w:ind w:firstLineChars="0" w:firstLine="0"/>
        <w:rPr>
          <w:rFonts w:ascii="Calibri" w:hAnsi="Calibri"/>
        </w:rPr>
      </w:pPr>
    </w:p>
    <w:p w14:paraId="3636E764" w14:textId="77777777" w:rsidR="00BE2BF0" w:rsidRDefault="00BE2BF0" w:rsidP="00BE2BF0">
      <w:pPr>
        <w:pStyle w:val="maintext"/>
        <w:ind w:firstLineChars="0" w:firstLine="0"/>
        <w:rPr>
          <w:rFonts w:ascii="Calibri" w:hAnsi="Calibri"/>
        </w:rPr>
      </w:pPr>
      <w:r>
        <w:rPr>
          <w:rFonts w:ascii="Calibri" w:hAnsi="Calibri"/>
        </w:rPr>
        <w:t xml:space="preserve">Based on Blockage Model A (UMi) described in the NR channel model TR 38.900, the duration of a single blockage event is dependent upon velocity of the blockers (e.g. vehicles on a road). Figure 2 below shows a distribution of blockage duration for 30 km/hr blocker velocity. The mean blockage duration based on this model is 600 ms. </w:t>
      </w:r>
    </w:p>
    <w:p w14:paraId="7357C67C" w14:textId="51BB2161" w:rsidR="00BE2BF0" w:rsidRDefault="00BE2BF0" w:rsidP="00BE2BF0">
      <w:pPr>
        <w:pStyle w:val="maintext"/>
        <w:ind w:firstLineChars="0" w:firstLine="0"/>
        <w:jc w:val="center"/>
        <w:rPr>
          <w:rFonts w:ascii="Calibri" w:hAnsi="Calibri"/>
        </w:rPr>
      </w:pPr>
      <w:r>
        <w:rPr>
          <w:rFonts w:ascii="Calibri" w:hAnsi="Calibri"/>
          <w:noProof/>
          <w:lang w:val="en-US" w:eastAsia="en-US"/>
        </w:rPr>
        <w:lastRenderedPageBreak/>
        <w:drawing>
          <wp:inline distT="0" distB="0" distL="0" distR="0" wp14:anchorId="36EED22A" wp14:editId="5E28791C">
            <wp:extent cx="3657600" cy="27432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657600" cy="2743200"/>
                    </a:xfrm>
                    <a:prstGeom prst="rect">
                      <a:avLst/>
                    </a:prstGeom>
                    <a:noFill/>
                    <a:ln>
                      <a:noFill/>
                    </a:ln>
                  </pic:spPr>
                </pic:pic>
              </a:graphicData>
            </a:graphic>
          </wp:inline>
        </w:drawing>
      </w:r>
    </w:p>
    <w:p w14:paraId="0966771D" w14:textId="77777777" w:rsidR="00BE2BF0" w:rsidRDefault="00BE2BF0" w:rsidP="00BE2BF0">
      <w:pPr>
        <w:pStyle w:val="maintext"/>
        <w:ind w:firstLineChars="0" w:firstLine="0"/>
        <w:jc w:val="center"/>
        <w:rPr>
          <w:rFonts w:ascii="Calibri" w:hAnsi="Calibri"/>
          <w:b/>
        </w:rPr>
      </w:pPr>
      <w:r>
        <w:rPr>
          <w:rFonts w:ascii="Calibri" w:hAnsi="Calibri"/>
          <w:b/>
        </w:rPr>
        <w:t>Figure 2: Distribution of Blockage Duration</w:t>
      </w:r>
    </w:p>
    <w:p w14:paraId="3AF454F3" w14:textId="77777777" w:rsidR="00BE2BF0" w:rsidRDefault="00BE2BF0" w:rsidP="00BE2BF0">
      <w:pPr>
        <w:pStyle w:val="maintext"/>
        <w:ind w:firstLineChars="0" w:firstLine="0"/>
        <w:rPr>
          <w:rFonts w:ascii="Calibri" w:hAnsi="Calibri"/>
          <w:i/>
        </w:rPr>
      </w:pPr>
      <w:r>
        <w:rPr>
          <w:rFonts w:ascii="Calibri" w:hAnsi="Calibri"/>
        </w:rPr>
        <w:t xml:space="preserve">Furthermore, if we assume Poisson arrival of blockers, and use 3GPP V2X assumptions, we get a mean interval between successive blockers = 2.4 seconds. Combining the mean blockage duration and mean interval between successive blockers, we get a probability of being blocked for a single UE-TRP link as </w:t>
      </w:r>
      <w:r>
        <w:rPr>
          <w:rFonts w:ascii="Calibri" w:hAnsi="Calibri"/>
          <w:i/>
        </w:rPr>
        <w:t>P = 0.25</w:t>
      </w:r>
      <w:r>
        <w:rPr>
          <w:rFonts w:ascii="Calibri" w:hAnsi="Calibri"/>
        </w:rPr>
        <w:t xml:space="preserve"> as shown in Figure 3.</w:t>
      </w:r>
    </w:p>
    <w:p w14:paraId="4A6BB7B5" w14:textId="77777777" w:rsidR="00BE2BF0" w:rsidRDefault="00BE2BF0" w:rsidP="00BE2BF0">
      <w:pPr>
        <w:pStyle w:val="maintext"/>
        <w:ind w:firstLineChars="0" w:firstLine="0"/>
        <w:rPr>
          <w:rFonts w:ascii="Calibri" w:hAnsi="Calibri"/>
          <w:sz w:val="20"/>
        </w:rPr>
      </w:pPr>
    </w:p>
    <w:p w14:paraId="217374E5" w14:textId="60FAD670" w:rsidR="00BE2BF0" w:rsidRDefault="00BE2BF0" w:rsidP="00BE2BF0">
      <w:pPr>
        <w:pStyle w:val="maintext"/>
        <w:ind w:firstLineChars="0" w:firstLine="0"/>
        <w:jc w:val="center"/>
        <w:rPr>
          <w:rFonts w:ascii="Calibri" w:hAnsi="Calibri"/>
        </w:rPr>
      </w:pPr>
      <w:r>
        <w:rPr>
          <w:rFonts w:ascii="Calibri" w:hAnsi="Calibri"/>
          <w:noProof/>
          <w:lang w:val="en-US" w:eastAsia="en-US"/>
        </w:rPr>
        <w:drawing>
          <wp:inline distT="0" distB="0" distL="0" distR="0" wp14:anchorId="030160DD" wp14:editId="165549BF">
            <wp:extent cx="1686560" cy="866775"/>
            <wp:effectExtent l="0" t="0" r="889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686560" cy="866775"/>
                    </a:xfrm>
                    <a:prstGeom prst="rect">
                      <a:avLst/>
                    </a:prstGeom>
                    <a:noFill/>
                    <a:ln>
                      <a:noFill/>
                    </a:ln>
                  </pic:spPr>
                </pic:pic>
              </a:graphicData>
            </a:graphic>
          </wp:inline>
        </w:drawing>
      </w:r>
    </w:p>
    <w:p w14:paraId="65583C5F" w14:textId="77777777" w:rsidR="00BE2BF0" w:rsidRDefault="00BE2BF0" w:rsidP="00BE2BF0">
      <w:pPr>
        <w:pStyle w:val="maintext"/>
        <w:ind w:firstLineChars="0" w:firstLine="0"/>
        <w:jc w:val="center"/>
        <w:rPr>
          <w:rFonts w:ascii="Calibri" w:hAnsi="Calibri"/>
          <w:b/>
        </w:rPr>
      </w:pPr>
      <w:r>
        <w:rPr>
          <w:rFonts w:ascii="Calibri" w:hAnsi="Calibri"/>
          <w:b/>
        </w:rPr>
        <w:t>Figure 3: Two-State Blockage Model</w:t>
      </w:r>
    </w:p>
    <w:p w14:paraId="0510F7C9" w14:textId="77777777" w:rsidR="00BE2BF0" w:rsidRDefault="00BE2BF0" w:rsidP="00BE2BF0">
      <w:pPr>
        <w:pStyle w:val="maintext"/>
        <w:ind w:firstLineChars="0" w:firstLine="0"/>
        <w:rPr>
          <w:rFonts w:ascii="Calibri" w:hAnsi="Calibri"/>
        </w:rPr>
      </w:pPr>
      <w:r>
        <w:rPr>
          <w:rFonts w:ascii="Calibri" w:hAnsi="Calibri"/>
        </w:rPr>
        <w:t xml:space="preserve">Blockage of a UE-TRP beam pair may result in beam failure as defined in Section 2. This beam failure could then trigger the UE to switch to a new serving beam. When the new serving beam belongs to the same TRP as the blocked beam that was previously serving the UE, this constitutes an intra-TRP beam switch. However, when the new serving beam belongs to a different TRP compared to the blocked beam that was previously serving the UE, this constitutes an inter-TRP beam switch. </w:t>
      </w:r>
    </w:p>
    <w:p w14:paraId="76FE8360" w14:textId="77777777" w:rsidR="00BE2BF0" w:rsidRDefault="00BE2BF0" w:rsidP="00BE2BF0">
      <w:pPr>
        <w:pStyle w:val="maintext"/>
        <w:ind w:firstLineChars="0" w:firstLine="0"/>
        <w:rPr>
          <w:rFonts w:ascii="Calibri" w:hAnsi="Calibri"/>
        </w:rPr>
      </w:pPr>
    </w:p>
    <w:p w14:paraId="1D030445" w14:textId="77777777" w:rsidR="00BE2BF0" w:rsidRDefault="00BE2BF0" w:rsidP="00BE2BF0">
      <w:pPr>
        <w:pStyle w:val="maintext"/>
        <w:ind w:firstLineChars="0" w:firstLine="0"/>
        <w:rPr>
          <w:rFonts w:ascii="Calibri" w:hAnsi="Calibri"/>
        </w:rPr>
      </w:pPr>
      <w:r>
        <w:rPr>
          <w:rFonts w:ascii="Calibri" w:hAnsi="Calibri"/>
        </w:rPr>
        <w:t>Since a UE may be monitoring beams from multiple TRPs, the probability of an inter-TRP beam switch is conditioned on the current serving beam being blocked while beams from the other TRPs are not blocked. If a UE could be served by beams from one of N TRPs, the blockage events can then be modelled as an effective Poisson process with a mean blocking probability given by,</w:t>
      </w:r>
    </w:p>
    <w:p w14:paraId="17C7916D" w14:textId="77777777" w:rsidR="00BE2BF0" w:rsidRDefault="00BE2BF0" w:rsidP="00BE2BF0">
      <w:pPr>
        <w:pStyle w:val="maintext"/>
        <w:ind w:firstLineChars="0" w:firstLine="720"/>
        <w:jc w:val="right"/>
        <w:rPr>
          <w:rFonts w:ascii="Calibri" w:hAnsi="Calibri"/>
          <w:i/>
        </w:rPr>
      </w:pPr>
      <w:r>
        <w:rPr>
          <w:rFonts w:ascii="Calibri" w:hAnsi="Calibri"/>
          <w:i/>
        </w:rPr>
        <w:t>P’ = P(1 – P</w:t>
      </w:r>
      <w:r>
        <w:rPr>
          <w:rFonts w:ascii="Calibri" w:hAnsi="Calibri"/>
          <w:i/>
          <w:vertAlign w:val="superscript"/>
        </w:rPr>
        <w:t>N-1</w:t>
      </w:r>
      <w:r>
        <w:rPr>
          <w:rFonts w:ascii="Calibri" w:hAnsi="Calibri"/>
          <w:i/>
        </w:rPr>
        <w:t xml:space="preserve">)    </w:t>
      </w:r>
      <w:r>
        <w:rPr>
          <w:rFonts w:ascii="Calibri" w:hAnsi="Calibri"/>
          <w:i/>
        </w:rPr>
        <w:tab/>
        <w:t xml:space="preserve">    </w:t>
      </w:r>
      <w:r>
        <w:rPr>
          <w:rFonts w:ascii="Calibri" w:hAnsi="Calibri"/>
          <w:i/>
        </w:rPr>
        <w:tab/>
        <w:t xml:space="preserve">             </w:t>
      </w:r>
      <w:r>
        <w:rPr>
          <w:rFonts w:ascii="Calibri" w:hAnsi="Calibri"/>
          <w:i/>
        </w:rPr>
        <w:tab/>
      </w:r>
      <w:r>
        <w:rPr>
          <w:rFonts w:ascii="Calibri" w:hAnsi="Calibri"/>
          <w:i/>
        </w:rPr>
        <w:tab/>
      </w:r>
      <w:r>
        <w:rPr>
          <w:rFonts w:ascii="Calibri" w:hAnsi="Calibri"/>
          <w:i/>
        </w:rPr>
        <w:tab/>
        <w:t>Eqn. (1)</w:t>
      </w:r>
    </w:p>
    <w:p w14:paraId="5E22CB94" w14:textId="77777777" w:rsidR="00BE2BF0" w:rsidRDefault="00BE2BF0" w:rsidP="00BE2BF0">
      <w:pPr>
        <w:pStyle w:val="maintext"/>
        <w:ind w:firstLineChars="0" w:firstLine="0"/>
        <w:rPr>
          <w:rFonts w:ascii="Calibri" w:hAnsi="Calibri"/>
          <w:sz w:val="20"/>
        </w:rPr>
      </w:pPr>
      <w:r>
        <w:rPr>
          <w:rFonts w:ascii="Calibri" w:hAnsi="Calibri"/>
        </w:rPr>
        <w:t>For example, when a UE could be served by beams from 3 TRPs, the mean duration between inter-TRP beam switches could be about 2.56 seconds. These estimates indicate that a UE could potentially experience frequent beam failure events, potentially resulting in frequent beam switches.</w:t>
      </w:r>
    </w:p>
    <w:p w14:paraId="77E8C374" w14:textId="77777777" w:rsidR="00BE2BF0" w:rsidRDefault="00BE2BF0" w:rsidP="00BE2BF0">
      <w:pPr>
        <w:pStyle w:val="maintext"/>
        <w:ind w:firstLineChars="0" w:firstLine="0"/>
        <w:rPr>
          <w:rFonts w:ascii="Calibri" w:hAnsi="Calibri"/>
          <w:b/>
        </w:rPr>
      </w:pPr>
      <w:r>
        <w:rPr>
          <w:rFonts w:ascii="Calibri" w:hAnsi="Calibri"/>
          <w:b/>
        </w:rPr>
        <w:lastRenderedPageBreak/>
        <w:t>Observation 1: In mmWave spectrum, a UE could experience frequent beam failure events, potentially resulting in frequent beam switches (as frequent as every few seconds).</w:t>
      </w:r>
    </w:p>
    <w:p w14:paraId="379F3F6A" w14:textId="77777777" w:rsidR="00BE2BF0" w:rsidRDefault="00BE2BF0" w:rsidP="00BE2BF0">
      <w:pPr>
        <w:pStyle w:val="maintext"/>
        <w:ind w:firstLineChars="0" w:firstLine="0"/>
        <w:rPr>
          <w:rFonts w:ascii="Calibri" w:hAnsi="Calibri"/>
          <w:b/>
        </w:rPr>
      </w:pPr>
    </w:p>
    <w:p w14:paraId="73508C2A" w14:textId="77777777" w:rsidR="00BE2BF0" w:rsidRDefault="00BE2BF0" w:rsidP="00BE2BF0">
      <w:pPr>
        <w:pStyle w:val="maintext"/>
        <w:ind w:firstLineChars="0" w:firstLine="0"/>
        <w:rPr>
          <w:rFonts w:ascii="Calibri" w:hAnsi="Calibri"/>
        </w:rPr>
      </w:pPr>
      <w:r>
        <w:rPr>
          <w:rFonts w:ascii="Calibri" w:hAnsi="Calibri"/>
        </w:rPr>
        <w:t>In a traditional Radio Link Failure (RLF) procedure, such as that defined for LTE, the UE detects up to N310 consecutive out-of-sync intervals of 200ms duration each, before starting RLF time T310 (in seconds), and declares RLF at the expiration of T310. Going back to the blockage statistics for a single UE-TRP link, we again observe that the duration of a blockage event may be on the order of a few hundred milliseconds, after which the beam quality may be restored. Hence these severe beam failure events may occur potentially for very short durations. It is quite evident that a traditional RLF procedure will be completely inadequate at detecting such blockage-based beam failure events.</w:t>
      </w:r>
    </w:p>
    <w:p w14:paraId="741E0C1C" w14:textId="77777777" w:rsidR="00BE2BF0" w:rsidRDefault="00BE2BF0" w:rsidP="00BE2BF0">
      <w:pPr>
        <w:pStyle w:val="maintext"/>
        <w:ind w:firstLineChars="0" w:firstLine="0"/>
        <w:rPr>
          <w:rFonts w:ascii="Calibri" w:hAnsi="Calibri"/>
          <w:b/>
        </w:rPr>
      </w:pPr>
    </w:p>
    <w:p w14:paraId="3FC37AE5" w14:textId="77777777" w:rsidR="00BE2BF0" w:rsidRDefault="00BE2BF0" w:rsidP="00BE2BF0">
      <w:pPr>
        <w:pStyle w:val="maintext"/>
        <w:ind w:firstLineChars="0" w:firstLine="0"/>
        <w:rPr>
          <w:rFonts w:ascii="Calibri" w:hAnsi="Calibri"/>
        </w:rPr>
      </w:pPr>
      <w:r>
        <w:rPr>
          <w:rFonts w:ascii="Calibri" w:hAnsi="Calibri"/>
        </w:rPr>
        <w:t>In fact RAN2 has agreed that RLF should be defined at a cell-level indication:</w:t>
      </w:r>
    </w:p>
    <w:p w14:paraId="494E6C3F" w14:textId="77777777" w:rsidR="00BE2BF0" w:rsidRDefault="00BE2BF0" w:rsidP="00BE2BF0">
      <w:pPr>
        <w:pStyle w:val="Doc-text2"/>
        <w:pBdr>
          <w:top w:val="single" w:sz="4" w:space="1" w:color="auto"/>
          <w:left w:val="single" w:sz="4" w:space="4" w:color="auto"/>
          <w:bottom w:val="single" w:sz="4" w:space="1" w:color="auto"/>
          <w:right w:val="single" w:sz="4" w:space="4" w:color="auto"/>
        </w:pBdr>
      </w:pPr>
      <w:r>
        <w:t>Agreements</w:t>
      </w:r>
    </w:p>
    <w:p w14:paraId="609B8A8C" w14:textId="77777777" w:rsidR="00BE2BF0" w:rsidRDefault="00BE2BF0" w:rsidP="00BE2BF0">
      <w:pPr>
        <w:pStyle w:val="Doc-text2"/>
        <w:pBdr>
          <w:top w:val="single" w:sz="4" w:space="1" w:color="auto"/>
          <w:left w:val="single" w:sz="4" w:space="4" w:color="auto"/>
          <w:bottom w:val="single" w:sz="4" w:space="1" w:color="auto"/>
          <w:right w:val="single" w:sz="4" w:space="4" w:color="auto"/>
        </w:pBdr>
      </w:pPr>
      <w:r>
        <w:t>1:</w:t>
      </w:r>
      <w:r>
        <w:tab/>
        <w:t>For connected mode, UE declares RLF upon timer expiry due to DL OOS detection, random access procedure failure detection, and RLC failure detection.</w:t>
      </w:r>
    </w:p>
    <w:p w14:paraId="4A1EF8A5" w14:textId="77777777" w:rsidR="00BE2BF0" w:rsidRDefault="00BE2BF0" w:rsidP="00BE2BF0">
      <w:pPr>
        <w:pStyle w:val="Doc-text2"/>
        <w:pBdr>
          <w:top w:val="single" w:sz="4" w:space="1" w:color="auto"/>
          <w:left w:val="single" w:sz="4" w:space="4" w:color="auto"/>
          <w:bottom w:val="single" w:sz="4" w:space="1" w:color="auto"/>
          <w:right w:val="single" w:sz="4" w:space="4" w:color="auto"/>
        </w:pBdr>
      </w:pPr>
      <w:r>
        <w:t xml:space="preserve">FFS whether maximum ARQ retransmission is only criteria for  RLC failure (needs to be discussed in common UP/CP session). </w:t>
      </w:r>
    </w:p>
    <w:p w14:paraId="2135BF57" w14:textId="77777777" w:rsidR="00BE2BF0" w:rsidRDefault="00BE2BF0" w:rsidP="00BE2BF0">
      <w:pPr>
        <w:pStyle w:val="Doc-text2"/>
        <w:pBdr>
          <w:top w:val="single" w:sz="4" w:space="1" w:color="auto"/>
          <w:left w:val="single" w:sz="4" w:space="4" w:color="auto"/>
          <w:bottom w:val="single" w:sz="4" w:space="1" w:color="auto"/>
          <w:right w:val="single" w:sz="4" w:space="4" w:color="auto"/>
        </w:pBdr>
      </w:pPr>
      <w:r>
        <w:t>2</w:t>
      </w:r>
      <w:r>
        <w:tab/>
        <w:t xml:space="preserve">In NR RLM procedure, physical layer performs out of sync / in sync indication and RRC declares RLF. </w:t>
      </w:r>
    </w:p>
    <w:p w14:paraId="25FA2793" w14:textId="77777777" w:rsidR="00BE2BF0" w:rsidRDefault="00BE2BF0" w:rsidP="00BE2BF0">
      <w:pPr>
        <w:pStyle w:val="Doc-text2"/>
        <w:pBdr>
          <w:top w:val="single" w:sz="4" w:space="1" w:color="auto"/>
          <w:left w:val="single" w:sz="4" w:space="4" w:color="auto"/>
          <w:bottom w:val="single" w:sz="4" w:space="1" w:color="auto"/>
          <w:right w:val="single" w:sz="4" w:space="4" w:color="auto"/>
        </w:pBdr>
      </w:pPr>
      <w:r>
        <w:t>3</w:t>
      </w:r>
      <w:r>
        <w:tab/>
        <w:t>For RLF purposes, RAN2 preference is that the in sync / out of sync indication should be a per cell indication, and we aim for a single procedure for both multi-beam and single beam operation.</w:t>
      </w:r>
    </w:p>
    <w:p w14:paraId="08CD0A5F" w14:textId="77777777" w:rsidR="00BE2BF0" w:rsidRDefault="00BE2BF0" w:rsidP="00BE2BF0">
      <w:pPr>
        <w:pStyle w:val="maintext"/>
        <w:ind w:firstLineChars="0" w:firstLine="0"/>
        <w:rPr>
          <w:rFonts w:ascii="Calibri" w:hAnsi="Calibri"/>
          <w:b/>
        </w:rPr>
      </w:pPr>
    </w:p>
    <w:p w14:paraId="3D139B6E" w14:textId="77777777" w:rsidR="00BE2BF0" w:rsidRDefault="00BE2BF0" w:rsidP="00BE2BF0">
      <w:pPr>
        <w:pStyle w:val="maintext"/>
        <w:ind w:firstLineChars="0" w:firstLine="0"/>
        <w:rPr>
          <w:rFonts w:ascii="Calibri" w:hAnsi="Calibri"/>
          <w:b/>
        </w:rPr>
      </w:pPr>
      <w:r>
        <w:rPr>
          <w:rFonts w:ascii="Calibri" w:hAnsi="Calibri"/>
          <w:b/>
        </w:rPr>
        <w:t>Observation 2: The cell-based Radio Link Failure (RLF) procedure may be unable to detect blockage-based beam failure events.</w:t>
      </w:r>
    </w:p>
    <w:p w14:paraId="4F202612" w14:textId="77777777" w:rsidR="00BE2BF0" w:rsidRDefault="00BE2BF0" w:rsidP="00D11AD9">
      <w:pPr>
        <w:rPr>
          <w:lang w:val="en-GB"/>
        </w:rPr>
      </w:pPr>
    </w:p>
    <w:p w14:paraId="5DBC3327" w14:textId="77C28CDC" w:rsidR="00D11AD9" w:rsidRDefault="001215A0" w:rsidP="00D11AD9">
      <w:pPr>
        <w:pStyle w:val="Heading1"/>
      </w:pPr>
      <w:r>
        <w:t>RLM, RLF, and</w:t>
      </w:r>
      <w:r w:rsidR="00B86DDF">
        <w:t xml:space="preserve"> Beam Failure </w:t>
      </w:r>
      <w:r w:rsidR="00932A0E">
        <w:t>Recovery Procedure</w:t>
      </w:r>
    </w:p>
    <w:p w14:paraId="78D89B76" w14:textId="1D8939AC" w:rsidR="00C24250" w:rsidRDefault="00015895" w:rsidP="00C24250">
      <w:pPr>
        <w:spacing w:line="312" w:lineRule="auto"/>
        <w:rPr>
          <w:rFonts w:ascii="Calibri" w:hAnsi="Calibri" w:cs="Arial"/>
          <w:lang w:val="en-GB"/>
        </w:rPr>
      </w:pPr>
      <w:r>
        <w:rPr>
          <w:rFonts w:ascii="Calibri" w:hAnsi="Calibri" w:cs="Arial"/>
          <w:lang w:val="en-GB"/>
        </w:rPr>
        <w:t>When</w:t>
      </w:r>
      <w:r w:rsidR="008E4630">
        <w:rPr>
          <w:rFonts w:ascii="Calibri" w:hAnsi="Calibri" w:cs="Arial"/>
          <w:lang w:val="en-GB"/>
        </w:rPr>
        <w:t xml:space="preserve"> the UE is monitorin</w:t>
      </w:r>
      <w:r w:rsidR="00451BA0">
        <w:rPr>
          <w:rFonts w:ascii="Calibri" w:hAnsi="Calibri" w:cs="Arial"/>
          <w:lang w:val="en-GB"/>
        </w:rPr>
        <w:t>g K beam pair links (BPLs) at Layer 1</w:t>
      </w:r>
      <w:r>
        <w:rPr>
          <w:rFonts w:ascii="Calibri" w:hAnsi="Calibri" w:cs="Arial"/>
          <w:lang w:val="en-GB"/>
        </w:rPr>
        <w:t xml:space="preserve">, the reference signals </w:t>
      </w:r>
      <w:r w:rsidR="007363D1">
        <w:rPr>
          <w:rFonts w:ascii="Calibri" w:hAnsi="Calibri" w:cs="Arial"/>
          <w:lang w:val="en-GB"/>
        </w:rPr>
        <w:t xml:space="preserve">carried on K BPLs </w:t>
      </w:r>
      <w:r>
        <w:rPr>
          <w:rFonts w:ascii="Calibri" w:hAnsi="Calibri" w:cs="Arial"/>
          <w:lang w:val="en-GB"/>
        </w:rPr>
        <w:t xml:space="preserve">are </w:t>
      </w:r>
      <w:r w:rsidR="007363D1">
        <w:rPr>
          <w:rFonts w:ascii="Calibri" w:hAnsi="Calibri" w:cs="Arial"/>
          <w:lang w:val="en-GB"/>
        </w:rPr>
        <w:t>used for radio link monitoring (RLM)</w:t>
      </w:r>
      <w:r>
        <w:rPr>
          <w:rFonts w:ascii="Calibri" w:hAnsi="Calibri" w:cs="Arial"/>
          <w:lang w:val="en-GB"/>
        </w:rPr>
        <w:t xml:space="preserve"> [1]</w:t>
      </w:r>
      <w:r w:rsidR="007363D1">
        <w:rPr>
          <w:rFonts w:ascii="Calibri" w:hAnsi="Calibri" w:cs="Arial"/>
          <w:lang w:val="en-GB"/>
        </w:rPr>
        <w:t xml:space="preserve"> and for detecting potential beam failure</w:t>
      </w:r>
      <w:r>
        <w:rPr>
          <w:rFonts w:ascii="Calibri" w:hAnsi="Calibri" w:cs="Arial"/>
          <w:lang w:val="en-GB"/>
        </w:rPr>
        <w:t xml:space="preserve"> [2]</w:t>
      </w:r>
      <w:r w:rsidR="007363D1">
        <w:rPr>
          <w:rFonts w:ascii="Calibri" w:hAnsi="Calibri" w:cs="Arial"/>
          <w:lang w:val="en-GB"/>
        </w:rPr>
        <w:t xml:space="preserve">. </w:t>
      </w:r>
      <w:r w:rsidR="00451BA0">
        <w:rPr>
          <w:rFonts w:ascii="Calibri" w:hAnsi="Calibri" w:cs="Arial"/>
          <w:lang w:val="en-GB"/>
        </w:rPr>
        <w:t>For beam failure detection, the UE monitors the reference signals to determine if the beam failure trigger condition is met. N</w:t>
      </w:r>
      <w:r w:rsidR="008E4630">
        <w:rPr>
          <w:rFonts w:ascii="Calibri" w:hAnsi="Calibri" w:cs="Arial"/>
          <w:lang w:val="en-GB"/>
        </w:rPr>
        <w:t xml:space="preserve">ote that each BPL may consist of a </w:t>
      </w:r>
      <w:r w:rsidR="001543A8">
        <w:rPr>
          <w:rFonts w:ascii="Calibri" w:hAnsi="Calibri" w:cs="Arial"/>
          <w:lang w:val="en-GB"/>
        </w:rPr>
        <w:t>subgroup, depending for example</w:t>
      </w:r>
      <w:r w:rsidR="007363D1">
        <w:rPr>
          <w:rFonts w:ascii="Calibri" w:hAnsi="Calibri" w:cs="Arial"/>
          <w:lang w:val="en-GB"/>
        </w:rPr>
        <w:t>,</w:t>
      </w:r>
      <w:r w:rsidR="001543A8">
        <w:rPr>
          <w:rFonts w:ascii="Calibri" w:hAnsi="Calibri" w:cs="Arial"/>
          <w:lang w:val="en-GB"/>
        </w:rPr>
        <w:t xml:space="preserve"> on the control channel resource s</w:t>
      </w:r>
      <w:r w:rsidR="007363D1">
        <w:rPr>
          <w:rFonts w:ascii="Calibri" w:hAnsi="Calibri" w:cs="Arial"/>
          <w:lang w:val="en-GB"/>
        </w:rPr>
        <w:t>et corresponding to each subgroup</w:t>
      </w:r>
      <w:r w:rsidR="001543A8">
        <w:rPr>
          <w:rFonts w:ascii="Calibri" w:hAnsi="Calibri" w:cs="Arial"/>
          <w:lang w:val="en-GB"/>
        </w:rPr>
        <w:t xml:space="preserve">. </w:t>
      </w:r>
      <w:r w:rsidR="00C24250">
        <w:rPr>
          <w:rFonts w:ascii="Calibri" w:hAnsi="Calibri" w:cs="Arial"/>
          <w:lang w:val="en-GB"/>
        </w:rPr>
        <w:t xml:space="preserve">This is illustrated in Figure 1 below, which provides an overall picture showing RLM, RLF, beam recovery, and connection to mobility management without RRC involvement. As shown in this figure, each BPL K1 to K3 consists of a subgroup of beams. </w:t>
      </w:r>
    </w:p>
    <w:p w14:paraId="55907380" w14:textId="1D54B759" w:rsidR="008E4630" w:rsidRDefault="00842CAE" w:rsidP="00C24250">
      <w:pPr>
        <w:spacing w:line="312" w:lineRule="auto"/>
        <w:rPr>
          <w:rFonts w:ascii="Calibri" w:hAnsi="Calibri" w:cs="Arial"/>
          <w:lang w:val="en-GB"/>
        </w:rPr>
      </w:pPr>
      <w:r>
        <w:rPr>
          <w:rFonts w:ascii="Calibri" w:hAnsi="Calibri" w:cs="Arial"/>
          <w:lang w:val="en-GB"/>
        </w:rPr>
        <w:object w:dxaOrig="9549" w:dyaOrig="5382" w14:anchorId="3553DB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32.05pt;height:299.2pt" o:ole="">
            <v:imagedata r:id="rId11" o:title=""/>
          </v:shape>
          <o:OLEObject Type="Embed" ProgID="PowerPoint.Show.12" ShapeID="_x0000_i1025" DrawAspect="Content" ObjectID="_1559161564" r:id="rId12"/>
        </w:object>
      </w:r>
    </w:p>
    <w:p w14:paraId="5BD607F5" w14:textId="08E55020" w:rsidR="001B60A9" w:rsidRPr="001B60A9" w:rsidRDefault="001B60A9" w:rsidP="001B60A9">
      <w:pPr>
        <w:spacing w:before="120" w:after="120"/>
        <w:jc w:val="center"/>
        <w:rPr>
          <w:rFonts w:ascii="Calibri" w:hAnsi="Calibri" w:cs="Arial"/>
          <w:b/>
          <w:bCs/>
          <w:lang w:val="en-GB"/>
        </w:rPr>
      </w:pPr>
      <w:r w:rsidRPr="001B60A9">
        <w:rPr>
          <w:b/>
          <w:bCs/>
        </w:rPr>
        <w:t xml:space="preserve">Figure </w:t>
      </w:r>
      <w:r w:rsidRPr="001B60A9">
        <w:rPr>
          <w:b/>
          <w:bCs/>
        </w:rPr>
        <w:fldChar w:fldCharType="begin"/>
      </w:r>
      <w:r w:rsidRPr="001B60A9">
        <w:rPr>
          <w:b/>
          <w:bCs/>
        </w:rPr>
        <w:instrText xml:space="preserve"> SEQ Figure \* ARABIC </w:instrText>
      </w:r>
      <w:r w:rsidRPr="001B60A9">
        <w:rPr>
          <w:b/>
          <w:bCs/>
        </w:rPr>
        <w:fldChar w:fldCharType="separate"/>
      </w:r>
      <w:r w:rsidRPr="001B60A9">
        <w:rPr>
          <w:b/>
          <w:bCs/>
          <w:noProof/>
        </w:rPr>
        <w:t>1</w:t>
      </w:r>
      <w:r w:rsidRPr="001B60A9">
        <w:rPr>
          <w:b/>
          <w:bCs/>
          <w:noProof/>
        </w:rPr>
        <w:fldChar w:fldCharType="end"/>
      </w:r>
      <w:r w:rsidR="000A1C3B">
        <w:rPr>
          <w:b/>
          <w:bCs/>
        </w:rPr>
        <w:t xml:space="preserve">: RLM, </w:t>
      </w:r>
      <w:r w:rsidR="00382B8E">
        <w:rPr>
          <w:b/>
          <w:bCs/>
        </w:rPr>
        <w:t>RLF</w:t>
      </w:r>
      <w:r w:rsidR="00EB3E74">
        <w:rPr>
          <w:b/>
          <w:bCs/>
        </w:rPr>
        <w:t xml:space="preserve">, </w:t>
      </w:r>
      <w:r w:rsidR="000A1C3B">
        <w:rPr>
          <w:b/>
          <w:bCs/>
        </w:rPr>
        <w:t>Beam</w:t>
      </w:r>
      <w:r w:rsidR="00B86DDF">
        <w:rPr>
          <w:b/>
          <w:bCs/>
        </w:rPr>
        <w:t xml:space="preserve"> Failure</w:t>
      </w:r>
      <w:r w:rsidR="000A1C3B">
        <w:rPr>
          <w:b/>
          <w:bCs/>
        </w:rPr>
        <w:t xml:space="preserve"> Recovery Procedure </w:t>
      </w:r>
      <w:r w:rsidR="00EB3E74">
        <w:rPr>
          <w:b/>
          <w:bCs/>
        </w:rPr>
        <w:t>and Mobility without RRC Involvement</w:t>
      </w:r>
    </w:p>
    <w:p w14:paraId="6ABF44B8" w14:textId="77777777" w:rsidR="001B60A9" w:rsidRDefault="001B60A9" w:rsidP="001B60A9">
      <w:pPr>
        <w:spacing w:line="312" w:lineRule="auto"/>
        <w:jc w:val="center"/>
        <w:rPr>
          <w:rFonts w:ascii="Calibri" w:hAnsi="Calibri" w:cs="Arial"/>
          <w:lang w:val="en-GB"/>
        </w:rPr>
      </w:pPr>
    </w:p>
    <w:p w14:paraId="76BD6741" w14:textId="744394F7" w:rsidR="00451BA0" w:rsidRDefault="001B60A9" w:rsidP="001B60A9">
      <w:pPr>
        <w:pStyle w:val="Heading2"/>
      </w:pPr>
      <w:r>
        <w:t>RLM and RLF</w:t>
      </w:r>
    </w:p>
    <w:p w14:paraId="2B342B95" w14:textId="7DE714D7" w:rsidR="001B60A9" w:rsidRDefault="00633588" w:rsidP="00CB5708">
      <w:pPr>
        <w:spacing w:line="312" w:lineRule="auto"/>
        <w:rPr>
          <w:rFonts w:ascii="Calibri" w:hAnsi="Calibri" w:cs="Arial"/>
          <w:lang w:val="en-GB"/>
        </w:rPr>
      </w:pPr>
      <w:r>
        <w:rPr>
          <w:rFonts w:ascii="Calibri" w:hAnsi="Calibri" w:cs="Arial"/>
          <w:lang w:val="en-GB"/>
        </w:rPr>
        <w:t xml:space="preserve">As shown in Figure 1, RLM metric computation </w:t>
      </w:r>
      <w:r w:rsidR="002D566F">
        <w:rPr>
          <w:rFonts w:ascii="Calibri" w:hAnsi="Calibri" w:cs="Arial"/>
          <w:lang w:val="en-GB"/>
        </w:rPr>
        <w:t xml:space="preserve">can be used to </w:t>
      </w:r>
      <w:r w:rsidR="00E332EB">
        <w:rPr>
          <w:rFonts w:ascii="Calibri" w:hAnsi="Calibri" w:cs="Arial"/>
          <w:lang w:val="en-GB"/>
        </w:rPr>
        <w:t>determine IS/OOS indications. An OOS indication can be provided if all BPLs cannot be decoded. Following a traditional RLF model, when N consecutive OOS indications are received, UE can start RLF timer. If an IS indication in received while the RLF timer is running, the timer would be reset. If no IS indication is received upon expiration of RLF timer, UE declares RLF.</w:t>
      </w:r>
    </w:p>
    <w:p w14:paraId="26F21A82" w14:textId="32FA4567" w:rsidR="00E332EB" w:rsidRDefault="00E332EB" w:rsidP="00CB5708">
      <w:pPr>
        <w:spacing w:line="312" w:lineRule="auto"/>
        <w:rPr>
          <w:rFonts w:ascii="Calibri" w:hAnsi="Calibri" w:cs="Arial"/>
          <w:lang w:val="en-GB"/>
        </w:rPr>
      </w:pPr>
      <w:r>
        <w:rPr>
          <w:rFonts w:ascii="Calibri" w:hAnsi="Calibri" w:cs="Arial"/>
          <w:lang w:val="en-GB"/>
        </w:rPr>
        <w:t xml:space="preserve">Since RAN1 has still not decided whether aperiodic IS/OOS indications will be provided (based on beam recover procedure), at this point it still FFS whether IS/OOS indications shown in the lower part of </w:t>
      </w:r>
      <w:r w:rsidR="002F1B33">
        <w:rPr>
          <w:rFonts w:ascii="Calibri" w:hAnsi="Calibri" w:cs="Arial"/>
          <w:lang w:val="en-GB"/>
        </w:rPr>
        <w:t>Figure 1 are also driven by</w:t>
      </w:r>
      <w:r>
        <w:rPr>
          <w:rFonts w:ascii="Calibri" w:hAnsi="Calibri" w:cs="Arial"/>
          <w:lang w:val="en-GB"/>
        </w:rPr>
        <w:t xml:space="preserve"> the beam recovery procedure shown in the upper part of Figure 1. </w:t>
      </w:r>
    </w:p>
    <w:p w14:paraId="6E8ACEF1" w14:textId="174C624F" w:rsidR="008D5128" w:rsidRDefault="008D5128" w:rsidP="002947BA">
      <w:pPr>
        <w:rPr>
          <w:b/>
          <w:lang w:val="en-GB"/>
        </w:rPr>
      </w:pPr>
      <w:r>
        <w:rPr>
          <w:b/>
          <w:lang w:val="en-GB"/>
        </w:rPr>
        <w:t xml:space="preserve">Proposal 1: </w:t>
      </w:r>
      <w:r w:rsidR="002947BA">
        <w:rPr>
          <w:b/>
          <w:lang w:val="en-GB"/>
        </w:rPr>
        <w:t>RLF timer should be started based on N consecutive detections of periodic OOS condition and reset upon detection of IS indication, whereby one IS/OOS indication is pro</w:t>
      </w:r>
      <w:r w:rsidR="00236601">
        <w:rPr>
          <w:b/>
          <w:lang w:val="en-GB"/>
        </w:rPr>
        <w:t xml:space="preserve">vided </w:t>
      </w:r>
      <w:r w:rsidR="003572C1">
        <w:rPr>
          <w:b/>
          <w:lang w:val="en-GB"/>
        </w:rPr>
        <w:t xml:space="preserve">by Layer 1 </w:t>
      </w:r>
      <w:r w:rsidR="00236601">
        <w:rPr>
          <w:b/>
          <w:lang w:val="en-GB"/>
        </w:rPr>
        <w:t>for each reporting instance per RAN1 agreement.</w:t>
      </w:r>
    </w:p>
    <w:p w14:paraId="68642FDD" w14:textId="77777777" w:rsidR="002F1B33" w:rsidRPr="002947BA" w:rsidRDefault="002F1B33" w:rsidP="002947BA">
      <w:pPr>
        <w:rPr>
          <w:b/>
          <w:lang w:val="en-GB"/>
        </w:rPr>
      </w:pPr>
    </w:p>
    <w:p w14:paraId="671A239B" w14:textId="13A08432" w:rsidR="00E332EB" w:rsidRDefault="00E332EB" w:rsidP="00E332EB">
      <w:pPr>
        <w:pStyle w:val="Heading2"/>
      </w:pPr>
      <w:r>
        <w:t xml:space="preserve">Beam </w:t>
      </w:r>
      <w:r w:rsidR="00C85E94">
        <w:t xml:space="preserve">Failure </w:t>
      </w:r>
      <w:r>
        <w:t>Recovery and Mobility without RRC Involvement</w:t>
      </w:r>
    </w:p>
    <w:p w14:paraId="7FA28930" w14:textId="66B015F7" w:rsidR="001543A8" w:rsidRDefault="00956E72" w:rsidP="00C7787C">
      <w:pPr>
        <w:rPr>
          <w:rFonts w:ascii="Calibri" w:hAnsi="Calibri" w:cs="Arial"/>
          <w:lang w:val="en-GB"/>
        </w:rPr>
      </w:pPr>
      <w:r>
        <w:rPr>
          <w:lang w:val="en-GB"/>
        </w:rPr>
        <w:t xml:space="preserve">Referring </w:t>
      </w:r>
      <w:r w:rsidR="00E332EB">
        <w:rPr>
          <w:lang w:val="en-GB"/>
        </w:rPr>
        <w:t xml:space="preserve">to Figure 1, </w:t>
      </w:r>
      <w:r w:rsidR="00C7787C">
        <w:rPr>
          <w:lang w:val="en-GB"/>
        </w:rPr>
        <w:t>w</w:t>
      </w:r>
      <w:r w:rsidR="001543A8">
        <w:rPr>
          <w:rFonts w:ascii="Calibri" w:hAnsi="Calibri" w:cs="Arial"/>
          <w:lang w:val="en-GB"/>
        </w:rPr>
        <w:t xml:space="preserve">hen beam failure is detected on one of the K BPLs, L1-based beam failure recovery mechanism may be triggered. </w:t>
      </w:r>
      <w:r w:rsidR="00AE2549">
        <w:rPr>
          <w:rFonts w:ascii="Calibri" w:hAnsi="Calibri" w:cs="Arial"/>
          <w:lang w:val="en-GB"/>
        </w:rPr>
        <w:t>This beam failure recovery process could fail in one of two ways:</w:t>
      </w:r>
    </w:p>
    <w:p w14:paraId="024BBE1B" w14:textId="79CA0DE0" w:rsidR="00AE2549" w:rsidRDefault="007B6A8C" w:rsidP="00AE2549">
      <w:pPr>
        <w:pStyle w:val="ListParagraph"/>
        <w:numPr>
          <w:ilvl w:val="0"/>
          <w:numId w:val="34"/>
        </w:numPr>
        <w:spacing w:line="312" w:lineRule="auto"/>
        <w:rPr>
          <w:rFonts w:cs="Arial"/>
          <w:lang w:val="en-GB"/>
        </w:rPr>
      </w:pPr>
      <w:r>
        <w:rPr>
          <w:rFonts w:cs="Arial"/>
          <w:lang w:val="en-GB"/>
        </w:rPr>
        <w:lastRenderedPageBreak/>
        <w:t>New beam identification may fail if no new beams are identified</w:t>
      </w:r>
    </w:p>
    <w:p w14:paraId="0D94026D" w14:textId="71B0766A" w:rsidR="001543A8" w:rsidRDefault="007B6A8C" w:rsidP="006D1FCE">
      <w:pPr>
        <w:pStyle w:val="ListParagraph"/>
        <w:numPr>
          <w:ilvl w:val="0"/>
          <w:numId w:val="34"/>
        </w:numPr>
        <w:spacing w:line="312" w:lineRule="auto"/>
        <w:rPr>
          <w:rFonts w:cs="Arial"/>
          <w:lang w:val="en-GB"/>
        </w:rPr>
      </w:pPr>
      <w:r w:rsidRPr="00E15D40">
        <w:rPr>
          <w:rFonts w:cs="Arial"/>
          <w:lang w:val="en-GB"/>
        </w:rPr>
        <w:t>Even though a new beam may be identified,</w:t>
      </w:r>
      <w:r w:rsidR="00922FFE" w:rsidRPr="00E15D40">
        <w:rPr>
          <w:rFonts w:cs="Arial"/>
          <w:lang w:val="en-GB"/>
        </w:rPr>
        <w:t xml:space="preserve"> </w:t>
      </w:r>
      <w:r w:rsidR="00E15D40" w:rsidRPr="00E15D40">
        <w:rPr>
          <w:rFonts w:cs="Arial"/>
          <w:lang w:val="en-GB"/>
        </w:rPr>
        <w:t xml:space="preserve">the beam failure recovery process could fail during the </w:t>
      </w:r>
      <w:bookmarkStart w:id="4" w:name="_GoBack"/>
      <w:bookmarkEnd w:id="4"/>
      <w:r w:rsidR="00E15D40" w:rsidRPr="00E15D40">
        <w:rPr>
          <w:rFonts w:cs="Arial"/>
          <w:lang w:val="en-GB"/>
        </w:rPr>
        <w:t>beam failure recovery request and gNB response process</w:t>
      </w:r>
      <w:r w:rsidR="00E15D40">
        <w:rPr>
          <w:rFonts w:cs="Arial"/>
          <w:lang w:val="en-GB"/>
        </w:rPr>
        <w:t>.</w:t>
      </w:r>
    </w:p>
    <w:p w14:paraId="1E98A563" w14:textId="5FA005B8" w:rsidR="00E15D40" w:rsidRDefault="00E15D40" w:rsidP="00E15D40">
      <w:pPr>
        <w:spacing w:line="312" w:lineRule="auto"/>
        <w:rPr>
          <w:rFonts w:cs="Arial"/>
          <w:lang w:val="en-GB"/>
        </w:rPr>
      </w:pPr>
      <w:r>
        <w:rPr>
          <w:rFonts w:cs="Arial"/>
          <w:lang w:val="en-GB"/>
        </w:rPr>
        <w:t>Upon failure of beam failure recovery process, we propose that th</w:t>
      </w:r>
      <w:r w:rsidR="0056776F">
        <w:rPr>
          <w:rFonts w:cs="Arial"/>
          <w:lang w:val="en-GB"/>
        </w:rPr>
        <w:t>e UE shall send a failure</w:t>
      </w:r>
      <w:r>
        <w:rPr>
          <w:rFonts w:cs="Arial"/>
          <w:lang w:val="en-GB"/>
        </w:rPr>
        <w:t xml:space="preserve"> indicati</w:t>
      </w:r>
      <w:r w:rsidR="00FE5061">
        <w:rPr>
          <w:rFonts w:cs="Arial"/>
          <w:lang w:val="en-GB"/>
        </w:rPr>
        <w:t>on to the gNB (denot</w:t>
      </w:r>
      <w:r w:rsidR="00015895">
        <w:rPr>
          <w:rFonts w:cs="Arial"/>
          <w:lang w:val="en-GB"/>
        </w:rPr>
        <w:t>ed as Radio Link Interruption [3</w:t>
      </w:r>
      <w:r w:rsidR="00FE5061">
        <w:rPr>
          <w:rFonts w:cs="Arial"/>
          <w:lang w:val="en-GB"/>
        </w:rPr>
        <w:t>])</w:t>
      </w:r>
      <w:r>
        <w:rPr>
          <w:rFonts w:cs="Arial"/>
          <w:lang w:val="en-GB"/>
        </w:rPr>
        <w:t xml:space="preserve">. </w:t>
      </w:r>
      <w:r w:rsidR="00FE5061">
        <w:rPr>
          <w:rFonts w:cs="Arial"/>
          <w:lang w:val="en-GB"/>
        </w:rPr>
        <w:t xml:space="preserve">This failure indication to Layer 2 is necessary to facilitate Mobility without RRC Involvement since it triggers the scheduler to route packets to another BPL that may be available via a different TRP. </w:t>
      </w:r>
    </w:p>
    <w:p w14:paraId="2B65F0F8" w14:textId="383215F3" w:rsidR="00A22287" w:rsidRDefault="00BA6439" w:rsidP="000C5F30">
      <w:pPr>
        <w:rPr>
          <w:b/>
          <w:lang w:val="en-GB"/>
        </w:rPr>
      </w:pPr>
      <w:r>
        <w:rPr>
          <w:b/>
          <w:lang w:val="en-GB"/>
        </w:rPr>
        <w:t xml:space="preserve">Proposal 2: </w:t>
      </w:r>
      <w:r w:rsidR="00701D4D">
        <w:rPr>
          <w:b/>
          <w:lang w:val="en-GB"/>
        </w:rPr>
        <w:t xml:space="preserve">Upon failure of beam failure recovery mechanism for each </w:t>
      </w:r>
      <w:r w:rsidR="00C90121">
        <w:rPr>
          <w:b/>
          <w:lang w:val="en-GB"/>
        </w:rPr>
        <w:t>subset of beams</w:t>
      </w:r>
      <w:r w:rsidR="00701D4D">
        <w:rPr>
          <w:b/>
          <w:lang w:val="en-GB"/>
        </w:rPr>
        <w:t>, the UE shall provide a Radio Link Interruption indication to Layer 2 to facilitate Mobility without RRC Involvement</w:t>
      </w:r>
      <w:r w:rsidR="00A22287">
        <w:rPr>
          <w:b/>
          <w:lang w:val="en-GB"/>
        </w:rPr>
        <w:t xml:space="preserve">. </w:t>
      </w:r>
    </w:p>
    <w:p w14:paraId="35EB8D4A" w14:textId="77777777" w:rsidR="00CD7E91" w:rsidRDefault="00CD7E91" w:rsidP="000C5F30">
      <w:pPr>
        <w:rPr>
          <w:b/>
          <w:lang w:val="en-GB"/>
        </w:rPr>
      </w:pPr>
    </w:p>
    <w:p w14:paraId="70C82586" w14:textId="6A5BE23B" w:rsidR="008D04DC" w:rsidRDefault="007C3145" w:rsidP="008D04DC">
      <w:pPr>
        <w:pStyle w:val="Heading1"/>
      </w:pPr>
      <w:r>
        <w:t>Conclusion</w:t>
      </w:r>
    </w:p>
    <w:p w14:paraId="5D3F33F4" w14:textId="28A443EB" w:rsidR="00F35C83" w:rsidRDefault="00A7768F" w:rsidP="00F35C83">
      <w:pPr>
        <w:rPr>
          <w:b/>
          <w:lang w:val="en-GB"/>
        </w:rPr>
      </w:pPr>
      <w:r>
        <w:rPr>
          <w:lang w:val="en-GB"/>
        </w:rPr>
        <w:t xml:space="preserve">In this </w:t>
      </w:r>
      <w:r w:rsidR="00D43FA6">
        <w:rPr>
          <w:lang w:val="en-GB"/>
        </w:rPr>
        <w:t>contribution,</w:t>
      </w:r>
      <w:r>
        <w:rPr>
          <w:lang w:val="en-GB"/>
        </w:rPr>
        <w:t xml:space="preserve"> we </w:t>
      </w:r>
      <w:r w:rsidR="002B6ADF">
        <w:rPr>
          <w:lang w:val="en-GB"/>
        </w:rPr>
        <w:t>discuss</w:t>
      </w:r>
      <w:r>
        <w:rPr>
          <w:lang w:val="en-GB"/>
        </w:rPr>
        <w:t xml:space="preserve"> some RAN2 implications of recent RAN1 agreements and working assumptions on beam failure recovery and radio link failure mechanisms. The following </w:t>
      </w:r>
      <w:r w:rsidR="00EF6701">
        <w:rPr>
          <w:lang w:val="en-GB"/>
        </w:rPr>
        <w:t xml:space="preserve">observations and </w:t>
      </w:r>
      <w:r w:rsidR="00684402">
        <w:rPr>
          <w:lang w:val="en-GB"/>
        </w:rPr>
        <w:t>proposals are offered for consideration</w:t>
      </w:r>
      <w:r w:rsidR="00EF3B5D">
        <w:rPr>
          <w:lang w:val="en-GB"/>
        </w:rPr>
        <w:t>:</w:t>
      </w:r>
    </w:p>
    <w:p w14:paraId="7C172A2C" w14:textId="77777777" w:rsidR="00EF6701" w:rsidRDefault="00EF6701" w:rsidP="00EF6701">
      <w:pPr>
        <w:pStyle w:val="maintext"/>
        <w:ind w:firstLineChars="0" w:firstLine="0"/>
        <w:rPr>
          <w:rFonts w:ascii="Calibri" w:hAnsi="Calibri"/>
          <w:b/>
        </w:rPr>
      </w:pPr>
      <w:r>
        <w:rPr>
          <w:rFonts w:ascii="Calibri" w:hAnsi="Calibri"/>
          <w:b/>
        </w:rPr>
        <w:t>Observation 1: In mmWave spectrum, a UE could experience frequent beam failure events, potentially resulting in frequent beam switches (as frequent as every few seconds).</w:t>
      </w:r>
    </w:p>
    <w:p w14:paraId="6B4939D4" w14:textId="1822101D" w:rsidR="00EF6701" w:rsidRPr="00EF6701" w:rsidRDefault="00EF6701" w:rsidP="00EF6701">
      <w:pPr>
        <w:pStyle w:val="maintext"/>
        <w:ind w:firstLineChars="0" w:firstLine="0"/>
        <w:rPr>
          <w:rFonts w:ascii="Calibri" w:hAnsi="Calibri"/>
          <w:b/>
        </w:rPr>
      </w:pPr>
      <w:r>
        <w:rPr>
          <w:rFonts w:ascii="Calibri" w:hAnsi="Calibri"/>
          <w:b/>
        </w:rPr>
        <w:t>Observation 2: The cell-based Radio Link Failure (RLF) procedure may be unable to detect blockage-based beam failure events.</w:t>
      </w:r>
    </w:p>
    <w:p w14:paraId="18A05B32" w14:textId="77777777" w:rsidR="00EF6701" w:rsidRDefault="00EF6701" w:rsidP="00952338">
      <w:pPr>
        <w:rPr>
          <w:b/>
          <w:lang w:val="en-GB"/>
        </w:rPr>
      </w:pPr>
    </w:p>
    <w:p w14:paraId="17BFB384" w14:textId="62C0C708" w:rsidR="00952338" w:rsidRPr="002947BA" w:rsidRDefault="00952338" w:rsidP="00952338">
      <w:pPr>
        <w:rPr>
          <w:b/>
          <w:lang w:val="en-GB"/>
        </w:rPr>
      </w:pPr>
      <w:r>
        <w:rPr>
          <w:b/>
          <w:lang w:val="en-GB"/>
        </w:rPr>
        <w:t>Proposal 1: RLF timer should be started based on N consecutive detections of periodic OOS condition and reset upon detection of IS indication, whereby one IS/OOS indication is provided for each reporting instance per RAN1 agreement.</w:t>
      </w:r>
    </w:p>
    <w:p w14:paraId="22AB36B7" w14:textId="56D8A6EC" w:rsidR="001440C3" w:rsidRPr="006B13A0" w:rsidRDefault="004C157C" w:rsidP="001440C3">
      <w:pPr>
        <w:rPr>
          <w:b/>
          <w:lang w:val="en-GB"/>
        </w:rPr>
      </w:pPr>
      <w:r>
        <w:rPr>
          <w:b/>
          <w:lang w:val="en-GB"/>
        </w:rPr>
        <w:t>Proposal 2: Upon failure of beam failure recovery mechanism for each subset of beams, the UE shall provide a Radio Link Interruption indication to Layer 2 to facilitate Mobility without RRC Involvement</w:t>
      </w:r>
      <w:r w:rsidR="00952338">
        <w:rPr>
          <w:b/>
          <w:lang w:val="en-GB"/>
        </w:rPr>
        <w:t xml:space="preserve">. </w:t>
      </w:r>
    </w:p>
    <w:p w14:paraId="20B93F0A" w14:textId="76F555FA" w:rsidR="0019306E" w:rsidRPr="00BE4FED" w:rsidRDefault="0019306E" w:rsidP="0019306E">
      <w:pPr>
        <w:rPr>
          <w:b/>
        </w:rPr>
      </w:pPr>
    </w:p>
    <w:p w14:paraId="3C099C76" w14:textId="7DA372BD" w:rsidR="00AF2C72" w:rsidRPr="006B13A0" w:rsidRDefault="00AF2C72" w:rsidP="006B13A0">
      <w:pPr>
        <w:pStyle w:val="Heading1"/>
      </w:pPr>
      <w:r>
        <w:t>Reference</w:t>
      </w:r>
    </w:p>
    <w:p w14:paraId="37D898CF" w14:textId="62F632BA" w:rsidR="007A5A73" w:rsidRDefault="007A5A73" w:rsidP="007A5A73">
      <w:pPr>
        <w:pStyle w:val="2222"/>
        <w:numPr>
          <w:ilvl w:val="0"/>
          <w:numId w:val="36"/>
        </w:numPr>
        <w:spacing w:after="120" w:line="288" w:lineRule="auto"/>
        <w:ind w:left="360" w:firstLineChars="0"/>
        <w:rPr>
          <w:rFonts w:cs="Times New Roman"/>
          <w:lang w:eastAsia="ko-KR"/>
        </w:rPr>
      </w:pPr>
      <w:r>
        <w:rPr>
          <w:rFonts w:cs="Times New Roman"/>
          <w:lang w:eastAsia="ko-KR"/>
        </w:rPr>
        <w:t>R1-1710425, Radio link monitoring, AT&amp;T</w:t>
      </w:r>
    </w:p>
    <w:p w14:paraId="572B9C03" w14:textId="2FD5CAFA" w:rsidR="007A5A73" w:rsidRDefault="007A5A73" w:rsidP="007A5A73">
      <w:pPr>
        <w:pStyle w:val="2222"/>
        <w:numPr>
          <w:ilvl w:val="0"/>
          <w:numId w:val="36"/>
        </w:numPr>
        <w:spacing w:after="120" w:line="288" w:lineRule="auto"/>
        <w:ind w:left="360" w:firstLineChars="0"/>
        <w:rPr>
          <w:rFonts w:cs="Times New Roman"/>
          <w:lang w:eastAsia="ko-KR"/>
        </w:rPr>
      </w:pPr>
      <w:r>
        <w:rPr>
          <w:rFonts w:cs="Times New Roman"/>
          <w:lang w:eastAsia="ko-KR"/>
        </w:rPr>
        <w:t>R1-1710431 Considerations on beam failure recovery mechanism, AT&amp;T</w:t>
      </w:r>
    </w:p>
    <w:p w14:paraId="4535856A" w14:textId="77777777" w:rsidR="00E15D40" w:rsidRDefault="00E15D40" w:rsidP="00E15D40">
      <w:pPr>
        <w:pStyle w:val="2222"/>
        <w:numPr>
          <w:ilvl w:val="0"/>
          <w:numId w:val="19"/>
        </w:numPr>
        <w:spacing w:after="120" w:line="288" w:lineRule="auto"/>
        <w:ind w:left="357" w:firstLineChars="0" w:hanging="357"/>
        <w:rPr>
          <w:rFonts w:eastAsia="Batang" w:cs="Times New Roman"/>
          <w:lang w:eastAsia="zh-CN"/>
        </w:rPr>
      </w:pPr>
      <w:r w:rsidRPr="00990A43">
        <w:rPr>
          <w:rFonts w:cs="Times New Roman"/>
          <w:lang w:eastAsia="ko-KR"/>
        </w:rPr>
        <w:t>R2-</w:t>
      </w:r>
      <w:r w:rsidRPr="00E278E8">
        <w:rPr>
          <w:rFonts w:eastAsia="Batang" w:cs="Times New Roman"/>
          <w:lang w:eastAsia="zh-CN"/>
        </w:rPr>
        <w:t>170</w:t>
      </w:r>
      <w:r>
        <w:rPr>
          <w:rFonts w:eastAsia="Batang" w:cs="Times New Roman"/>
          <w:lang w:eastAsia="zh-CN"/>
        </w:rPr>
        <w:t>4487</w:t>
      </w:r>
      <w:r w:rsidRPr="00E278E8">
        <w:rPr>
          <w:rFonts w:eastAsia="Batang" w:cs="Times New Roman"/>
          <w:lang w:eastAsia="zh-CN"/>
        </w:rPr>
        <w:t>, Beam Failure (BF) and Radio Link Interruption (RLI), AT&amp;T</w:t>
      </w:r>
    </w:p>
    <w:p w14:paraId="6FD79AAD" w14:textId="77777777" w:rsidR="00E15D40" w:rsidRPr="00090F30" w:rsidRDefault="00E15D40" w:rsidP="00E15D40">
      <w:pPr>
        <w:pStyle w:val="2222"/>
        <w:spacing w:after="120" w:line="288" w:lineRule="auto"/>
        <w:ind w:left="357" w:firstLineChars="0" w:firstLine="0"/>
        <w:rPr>
          <w:rFonts w:eastAsia="Batang" w:cs="Times New Roman"/>
          <w:lang w:eastAsia="zh-CN"/>
        </w:rPr>
      </w:pPr>
    </w:p>
    <w:p w14:paraId="0CD97759" w14:textId="4AF1F6CF" w:rsidR="00AF2C72" w:rsidRPr="00AF2C72" w:rsidRDefault="00AF2C72" w:rsidP="00AF2C72">
      <w:pPr>
        <w:rPr>
          <w:lang w:val="en-GB"/>
        </w:rPr>
      </w:pPr>
    </w:p>
    <w:sectPr w:rsidR="00AF2C72" w:rsidRPr="00AF2C72" w:rsidSect="001D7377">
      <w:headerReference w:type="even" r:id="rId13"/>
      <w:footerReference w:type="even" r:id="rId14"/>
      <w:footerReference w:type="default" r:id="rId15"/>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6D4A1D" w14:textId="77777777" w:rsidR="001D502E" w:rsidRDefault="001D502E" w:rsidP="00A03DF3">
      <w:pPr>
        <w:spacing w:after="0"/>
      </w:pPr>
      <w:r>
        <w:separator/>
      </w:r>
    </w:p>
  </w:endnote>
  <w:endnote w:type="continuationSeparator" w:id="0">
    <w:p w14:paraId="65F224A1" w14:textId="77777777" w:rsidR="001D502E" w:rsidRDefault="001D502E" w:rsidP="00A0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5B99A8" w14:textId="77777777" w:rsidR="00107EBD" w:rsidRDefault="00107EBD" w:rsidP="00107E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72287DD" w14:textId="77777777" w:rsidR="00107EBD" w:rsidRDefault="00107EBD" w:rsidP="00107EB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52129" w14:textId="6DD676C1" w:rsidR="00107EBD" w:rsidRDefault="00107EBD" w:rsidP="00107EBD">
    <w:pPr>
      <w:pStyle w:val="Footer"/>
      <w:ind w:right="360"/>
    </w:pPr>
    <w:r>
      <w:rPr>
        <w:rStyle w:val="PageNumber"/>
      </w:rPr>
      <w:fldChar w:fldCharType="begin"/>
    </w:r>
    <w:r>
      <w:rPr>
        <w:rStyle w:val="PageNumber"/>
      </w:rPr>
      <w:instrText xml:space="preserve"> PAGE </w:instrText>
    </w:r>
    <w:r>
      <w:rPr>
        <w:rStyle w:val="PageNumber"/>
      </w:rPr>
      <w:fldChar w:fldCharType="separate"/>
    </w:r>
    <w:r w:rsidR="00C85E94">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85E94">
      <w:rPr>
        <w:rStyle w:val="PageNumber"/>
      </w:rPr>
      <w:t>7</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BE5B8C" w14:textId="77777777" w:rsidR="001D502E" w:rsidRDefault="001D502E" w:rsidP="00A03DF3">
      <w:pPr>
        <w:spacing w:after="0"/>
      </w:pPr>
      <w:r>
        <w:separator/>
      </w:r>
    </w:p>
  </w:footnote>
  <w:footnote w:type="continuationSeparator" w:id="0">
    <w:p w14:paraId="3F016D8C" w14:textId="77777777" w:rsidR="001D502E" w:rsidRDefault="001D502E" w:rsidP="00A03DF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5F86CE" w14:textId="77777777" w:rsidR="00107EBD" w:rsidRDefault="00107EBD">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4D4785A"/>
    <w:multiLevelType w:val="hybridMultilevel"/>
    <w:tmpl w:val="B9FC92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AA16167"/>
    <w:multiLevelType w:val="hybridMultilevel"/>
    <w:tmpl w:val="027838C2"/>
    <w:lvl w:ilvl="0" w:tplc="C5D2A3AC">
      <w:start w:val="1"/>
      <w:numFmt w:val="bullet"/>
      <w:lvlText w:val="•"/>
      <w:lvlJc w:val="left"/>
      <w:pPr>
        <w:tabs>
          <w:tab w:val="num" w:pos="720"/>
        </w:tabs>
        <w:ind w:left="720" w:hanging="360"/>
      </w:pPr>
      <w:rPr>
        <w:rFonts w:ascii="Arial" w:hAnsi="Arial" w:hint="default"/>
      </w:rPr>
    </w:lvl>
    <w:lvl w:ilvl="1" w:tplc="7D047D6C">
      <w:start w:val="270"/>
      <w:numFmt w:val="bullet"/>
      <w:lvlText w:val="•"/>
      <w:lvlJc w:val="left"/>
      <w:pPr>
        <w:tabs>
          <w:tab w:val="num" w:pos="1440"/>
        </w:tabs>
        <w:ind w:left="1440" w:hanging="360"/>
      </w:pPr>
      <w:rPr>
        <w:rFonts w:ascii="Arial" w:hAnsi="Arial" w:hint="default"/>
      </w:rPr>
    </w:lvl>
    <w:lvl w:ilvl="2" w:tplc="1F8CB806">
      <w:start w:val="1"/>
      <w:numFmt w:val="bullet"/>
      <w:lvlText w:val="•"/>
      <w:lvlJc w:val="left"/>
      <w:pPr>
        <w:tabs>
          <w:tab w:val="num" w:pos="2160"/>
        </w:tabs>
        <w:ind w:left="2160" w:hanging="360"/>
      </w:pPr>
      <w:rPr>
        <w:rFonts w:ascii="Arial" w:hAnsi="Arial" w:hint="default"/>
      </w:rPr>
    </w:lvl>
    <w:lvl w:ilvl="3" w:tplc="2CB22960" w:tentative="1">
      <w:start w:val="1"/>
      <w:numFmt w:val="bullet"/>
      <w:lvlText w:val="•"/>
      <w:lvlJc w:val="left"/>
      <w:pPr>
        <w:tabs>
          <w:tab w:val="num" w:pos="2880"/>
        </w:tabs>
        <w:ind w:left="2880" w:hanging="360"/>
      </w:pPr>
      <w:rPr>
        <w:rFonts w:ascii="Arial" w:hAnsi="Arial" w:hint="default"/>
      </w:rPr>
    </w:lvl>
    <w:lvl w:ilvl="4" w:tplc="AFA03596" w:tentative="1">
      <w:start w:val="1"/>
      <w:numFmt w:val="bullet"/>
      <w:lvlText w:val="•"/>
      <w:lvlJc w:val="left"/>
      <w:pPr>
        <w:tabs>
          <w:tab w:val="num" w:pos="3600"/>
        </w:tabs>
        <w:ind w:left="3600" w:hanging="360"/>
      </w:pPr>
      <w:rPr>
        <w:rFonts w:ascii="Arial" w:hAnsi="Arial" w:hint="default"/>
      </w:rPr>
    </w:lvl>
    <w:lvl w:ilvl="5" w:tplc="02189232" w:tentative="1">
      <w:start w:val="1"/>
      <w:numFmt w:val="bullet"/>
      <w:lvlText w:val="•"/>
      <w:lvlJc w:val="left"/>
      <w:pPr>
        <w:tabs>
          <w:tab w:val="num" w:pos="4320"/>
        </w:tabs>
        <w:ind w:left="4320" w:hanging="360"/>
      </w:pPr>
      <w:rPr>
        <w:rFonts w:ascii="Arial" w:hAnsi="Arial" w:hint="default"/>
      </w:rPr>
    </w:lvl>
    <w:lvl w:ilvl="6" w:tplc="F5DCC224" w:tentative="1">
      <w:start w:val="1"/>
      <w:numFmt w:val="bullet"/>
      <w:lvlText w:val="•"/>
      <w:lvlJc w:val="left"/>
      <w:pPr>
        <w:tabs>
          <w:tab w:val="num" w:pos="5040"/>
        </w:tabs>
        <w:ind w:left="5040" w:hanging="360"/>
      </w:pPr>
      <w:rPr>
        <w:rFonts w:ascii="Arial" w:hAnsi="Arial" w:hint="default"/>
      </w:rPr>
    </w:lvl>
    <w:lvl w:ilvl="7" w:tplc="8B5A8714" w:tentative="1">
      <w:start w:val="1"/>
      <w:numFmt w:val="bullet"/>
      <w:lvlText w:val="•"/>
      <w:lvlJc w:val="left"/>
      <w:pPr>
        <w:tabs>
          <w:tab w:val="num" w:pos="5760"/>
        </w:tabs>
        <w:ind w:left="5760" w:hanging="360"/>
      </w:pPr>
      <w:rPr>
        <w:rFonts w:ascii="Arial" w:hAnsi="Arial" w:hint="default"/>
      </w:rPr>
    </w:lvl>
    <w:lvl w:ilvl="8" w:tplc="7CE872A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5" w15:restartNumberingAfterBreak="0">
    <w:nsid w:val="114121CC"/>
    <w:multiLevelType w:val="hybridMultilevel"/>
    <w:tmpl w:val="69F09FA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013BF4"/>
    <w:multiLevelType w:val="hybridMultilevel"/>
    <w:tmpl w:val="7012EE18"/>
    <w:lvl w:ilvl="0" w:tplc="D5B4FD2E">
      <w:start w:val="1"/>
      <w:numFmt w:val="bullet"/>
      <w:lvlText w:val="•"/>
      <w:lvlJc w:val="left"/>
      <w:pPr>
        <w:tabs>
          <w:tab w:val="num" w:pos="720"/>
        </w:tabs>
        <w:ind w:left="720" w:hanging="360"/>
      </w:pPr>
      <w:rPr>
        <w:rFonts w:ascii="Arial" w:hAnsi="Arial" w:hint="default"/>
      </w:rPr>
    </w:lvl>
    <w:lvl w:ilvl="1" w:tplc="60A88E22">
      <w:numFmt w:val="bullet"/>
      <w:lvlText w:val="–"/>
      <w:lvlJc w:val="left"/>
      <w:pPr>
        <w:tabs>
          <w:tab w:val="num" w:pos="1440"/>
        </w:tabs>
        <w:ind w:left="1440" w:hanging="360"/>
      </w:pPr>
      <w:rPr>
        <w:rFonts w:ascii="Arial" w:hAnsi="Arial" w:hint="default"/>
      </w:rPr>
    </w:lvl>
    <w:lvl w:ilvl="2" w:tplc="40543248">
      <w:numFmt w:val="bullet"/>
      <w:lvlText w:val="•"/>
      <w:lvlJc w:val="left"/>
      <w:pPr>
        <w:tabs>
          <w:tab w:val="num" w:pos="2160"/>
        </w:tabs>
        <w:ind w:left="2160" w:hanging="360"/>
      </w:pPr>
      <w:rPr>
        <w:rFonts w:ascii="Arial" w:hAnsi="Arial" w:hint="default"/>
      </w:rPr>
    </w:lvl>
    <w:lvl w:ilvl="3" w:tplc="8536DB94" w:tentative="1">
      <w:start w:val="1"/>
      <w:numFmt w:val="bullet"/>
      <w:lvlText w:val="•"/>
      <w:lvlJc w:val="left"/>
      <w:pPr>
        <w:tabs>
          <w:tab w:val="num" w:pos="2880"/>
        </w:tabs>
        <w:ind w:left="2880" w:hanging="360"/>
      </w:pPr>
      <w:rPr>
        <w:rFonts w:ascii="Arial" w:hAnsi="Arial" w:hint="default"/>
      </w:rPr>
    </w:lvl>
    <w:lvl w:ilvl="4" w:tplc="45D0D20C" w:tentative="1">
      <w:start w:val="1"/>
      <w:numFmt w:val="bullet"/>
      <w:lvlText w:val="•"/>
      <w:lvlJc w:val="left"/>
      <w:pPr>
        <w:tabs>
          <w:tab w:val="num" w:pos="3600"/>
        </w:tabs>
        <w:ind w:left="3600" w:hanging="360"/>
      </w:pPr>
      <w:rPr>
        <w:rFonts w:ascii="Arial" w:hAnsi="Arial" w:hint="default"/>
      </w:rPr>
    </w:lvl>
    <w:lvl w:ilvl="5" w:tplc="A88CA1A2" w:tentative="1">
      <w:start w:val="1"/>
      <w:numFmt w:val="bullet"/>
      <w:lvlText w:val="•"/>
      <w:lvlJc w:val="left"/>
      <w:pPr>
        <w:tabs>
          <w:tab w:val="num" w:pos="4320"/>
        </w:tabs>
        <w:ind w:left="4320" w:hanging="360"/>
      </w:pPr>
      <w:rPr>
        <w:rFonts w:ascii="Arial" w:hAnsi="Arial" w:hint="default"/>
      </w:rPr>
    </w:lvl>
    <w:lvl w:ilvl="6" w:tplc="4C863CB6" w:tentative="1">
      <w:start w:val="1"/>
      <w:numFmt w:val="bullet"/>
      <w:lvlText w:val="•"/>
      <w:lvlJc w:val="left"/>
      <w:pPr>
        <w:tabs>
          <w:tab w:val="num" w:pos="5040"/>
        </w:tabs>
        <w:ind w:left="5040" w:hanging="360"/>
      </w:pPr>
      <w:rPr>
        <w:rFonts w:ascii="Arial" w:hAnsi="Arial" w:hint="default"/>
      </w:rPr>
    </w:lvl>
    <w:lvl w:ilvl="7" w:tplc="6F5EC658" w:tentative="1">
      <w:start w:val="1"/>
      <w:numFmt w:val="bullet"/>
      <w:lvlText w:val="•"/>
      <w:lvlJc w:val="left"/>
      <w:pPr>
        <w:tabs>
          <w:tab w:val="num" w:pos="5760"/>
        </w:tabs>
        <w:ind w:left="5760" w:hanging="360"/>
      </w:pPr>
      <w:rPr>
        <w:rFonts w:ascii="Arial" w:hAnsi="Arial" w:hint="default"/>
      </w:rPr>
    </w:lvl>
    <w:lvl w:ilvl="8" w:tplc="BF269D4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3154C50"/>
    <w:multiLevelType w:val="hybridMultilevel"/>
    <w:tmpl w:val="C06C70EA"/>
    <w:lvl w:ilvl="0" w:tplc="04090005">
      <w:start w:val="1"/>
      <w:numFmt w:val="bullet"/>
      <w:lvlText w:val=""/>
      <w:lvlJc w:val="left"/>
      <w:pPr>
        <w:ind w:left="800" w:hanging="400"/>
      </w:pPr>
      <w:rPr>
        <w:rFonts w:ascii="Wingdings" w:hAnsi="Wingdings" w:hint="default"/>
      </w:rPr>
    </w:lvl>
    <w:lvl w:ilvl="1" w:tplc="04090005">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B">
      <w:start w:val="1"/>
      <w:numFmt w:val="bullet"/>
      <w:lvlText w:val=""/>
      <w:lvlJc w:val="left"/>
      <w:pPr>
        <w:ind w:left="2000" w:hanging="400"/>
      </w:pPr>
      <w:rPr>
        <w:rFonts w:ascii="Wingdings" w:hAnsi="Wingdings" w:hint="default"/>
      </w:rPr>
    </w:lvl>
    <w:lvl w:ilvl="4" w:tplc="DD72E3AA">
      <w:numFmt w:val="bullet"/>
      <w:lvlText w:val="-"/>
      <w:lvlJc w:val="left"/>
      <w:pPr>
        <w:ind w:left="2360" w:hanging="360"/>
      </w:pPr>
      <w:rPr>
        <w:rFonts w:ascii="Times New Roman" w:eastAsia="Malgun Gothic" w:hAnsi="Times New Roman" w:cs="Times New Roman"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A3E7A15"/>
    <w:multiLevelType w:val="hybridMultilevel"/>
    <w:tmpl w:val="9A2E4000"/>
    <w:lvl w:ilvl="0" w:tplc="BB6CA758">
      <w:start w:val="1"/>
      <w:numFmt w:val="bullet"/>
      <w:lvlText w:val="•"/>
      <w:lvlJc w:val="left"/>
      <w:pPr>
        <w:tabs>
          <w:tab w:val="num" w:pos="720"/>
        </w:tabs>
        <w:ind w:left="720" w:hanging="360"/>
      </w:pPr>
      <w:rPr>
        <w:rFonts w:ascii="Arial" w:hAnsi="Arial" w:hint="default"/>
      </w:rPr>
    </w:lvl>
    <w:lvl w:ilvl="1" w:tplc="79B6C26E">
      <w:start w:val="3109"/>
      <w:numFmt w:val="bullet"/>
      <w:lvlText w:val="–"/>
      <w:lvlJc w:val="left"/>
      <w:pPr>
        <w:tabs>
          <w:tab w:val="num" w:pos="1440"/>
        </w:tabs>
        <w:ind w:left="1440" w:hanging="360"/>
      </w:pPr>
      <w:rPr>
        <w:rFonts w:ascii="Arial" w:hAnsi="Arial" w:hint="default"/>
      </w:rPr>
    </w:lvl>
    <w:lvl w:ilvl="2" w:tplc="7362D5E8">
      <w:start w:val="3109"/>
      <w:numFmt w:val="bullet"/>
      <w:lvlText w:val="•"/>
      <w:lvlJc w:val="left"/>
      <w:pPr>
        <w:tabs>
          <w:tab w:val="num" w:pos="2160"/>
        </w:tabs>
        <w:ind w:left="2160" w:hanging="360"/>
      </w:pPr>
      <w:rPr>
        <w:rFonts w:ascii="Arial" w:hAnsi="Arial" w:hint="default"/>
      </w:rPr>
    </w:lvl>
    <w:lvl w:ilvl="3" w:tplc="A43C1A58" w:tentative="1">
      <w:start w:val="1"/>
      <w:numFmt w:val="bullet"/>
      <w:lvlText w:val="•"/>
      <w:lvlJc w:val="left"/>
      <w:pPr>
        <w:tabs>
          <w:tab w:val="num" w:pos="2880"/>
        </w:tabs>
        <w:ind w:left="2880" w:hanging="360"/>
      </w:pPr>
      <w:rPr>
        <w:rFonts w:ascii="Arial" w:hAnsi="Arial" w:hint="default"/>
      </w:rPr>
    </w:lvl>
    <w:lvl w:ilvl="4" w:tplc="FCA6F7A8" w:tentative="1">
      <w:start w:val="1"/>
      <w:numFmt w:val="bullet"/>
      <w:lvlText w:val="•"/>
      <w:lvlJc w:val="left"/>
      <w:pPr>
        <w:tabs>
          <w:tab w:val="num" w:pos="3600"/>
        </w:tabs>
        <w:ind w:left="3600" w:hanging="360"/>
      </w:pPr>
      <w:rPr>
        <w:rFonts w:ascii="Arial" w:hAnsi="Arial" w:hint="default"/>
      </w:rPr>
    </w:lvl>
    <w:lvl w:ilvl="5" w:tplc="B47CAF42" w:tentative="1">
      <w:start w:val="1"/>
      <w:numFmt w:val="bullet"/>
      <w:lvlText w:val="•"/>
      <w:lvlJc w:val="left"/>
      <w:pPr>
        <w:tabs>
          <w:tab w:val="num" w:pos="4320"/>
        </w:tabs>
        <w:ind w:left="4320" w:hanging="360"/>
      </w:pPr>
      <w:rPr>
        <w:rFonts w:ascii="Arial" w:hAnsi="Arial" w:hint="default"/>
      </w:rPr>
    </w:lvl>
    <w:lvl w:ilvl="6" w:tplc="F60E27EE" w:tentative="1">
      <w:start w:val="1"/>
      <w:numFmt w:val="bullet"/>
      <w:lvlText w:val="•"/>
      <w:lvlJc w:val="left"/>
      <w:pPr>
        <w:tabs>
          <w:tab w:val="num" w:pos="5040"/>
        </w:tabs>
        <w:ind w:left="5040" w:hanging="360"/>
      </w:pPr>
      <w:rPr>
        <w:rFonts w:ascii="Arial" w:hAnsi="Arial" w:hint="default"/>
      </w:rPr>
    </w:lvl>
    <w:lvl w:ilvl="7" w:tplc="2E6C657A" w:tentative="1">
      <w:start w:val="1"/>
      <w:numFmt w:val="bullet"/>
      <w:lvlText w:val="•"/>
      <w:lvlJc w:val="left"/>
      <w:pPr>
        <w:tabs>
          <w:tab w:val="num" w:pos="5760"/>
        </w:tabs>
        <w:ind w:left="5760" w:hanging="360"/>
      </w:pPr>
      <w:rPr>
        <w:rFonts w:ascii="Arial" w:hAnsi="Arial" w:hint="default"/>
      </w:rPr>
    </w:lvl>
    <w:lvl w:ilvl="8" w:tplc="9372027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21E0E35"/>
    <w:multiLevelType w:val="hybridMultilevel"/>
    <w:tmpl w:val="5D44596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5422144"/>
    <w:multiLevelType w:val="hybridMultilevel"/>
    <w:tmpl w:val="D9182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9518B9"/>
    <w:multiLevelType w:val="hybridMultilevel"/>
    <w:tmpl w:val="357AE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57250F"/>
    <w:multiLevelType w:val="hybridMultilevel"/>
    <w:tmpl w:val="EF80CA20"/>
    <w:lvl w:ilvl="0" w:tplc="A63827C0">
      <w:start w:val="1"/>
      <w:numFmt w:val="bullet"/>
      <w:lvlText w:val="•"/>
      <w:lvlJc w:val="left"/>
      <w:pPr>
        <w:tabs>
          <w:tab w:val="num" w:pos="720"/>
        </w:tabs>
        <w:ind w:left="720" w:hanging="360"/>
      </w:pPr>
      <w:rPr>
        <w:rFonts w:ascii="Arial" w:hAnsi="Arial" w:hint="default"/>
      </w:rPr>
    </w:lvl>
    <w:lvl w:ilvl="1" w:tplc="4CA4AA8A" w:tentative="1">
      <w:start w:val="1"/>
      <w:numFmt w:val="bullet"/>
      <w:lvlText w:val="•"/>
      <w:lvlJc w:val="left"/>
      <w:pPr>
        <w:tabs>
          <w:tab w:val="num" w:pos="1440"/>
        </w:tabs>
        <w:ind w:left="1440" w:hanging="360"/>
      </w:pPr>
      <w:rPr>
        <w:rFonts w:ascii="Arial" w:hAnsi="Arial" w:hint="default"/>
      </w:rPr>
    </w:lvl>
    <w:lvl w:ilvl="2" w:tplc="1382DA10" w:tentative="1">
      <w:start w:val="1"/>
      <w:numFmt w:val="bullet"/>
      <w:lvlText w:val="•"/>
      <w:lvlJc w:val="left"/>
      <w:pPr>
        <w:tabs>
          <w:tab w:val="num" w:pos="2160"/>
        </w:tabs>
        <w:ind w:left="2160" w:hanging="360"/>
      </w:pPr>
      <w:rPr>
        <w:rFonts w:ascii="Arial" w:hAnsi="Arial" w:hint="default"/>
      </w:rPr>
    </w:lvl>
    <w:lvl w:ilvl="3" w:tplc="385CA980" w:tentative="1">
      <w:start w:val="1"/>
      <w:numFmt w:val="bullet"/>
      <w:lvlText w:val="•"/>
      <w:lvlJc w:val="left"/>
      <w:pPr>
        <w:tabs>
          <w:tab w:val="num" w:pos="2880"/>
        </w:tabs>
        <w:ind w:left="2880" w:hanging="360"/>
      </w:pPr>
      <w:rPr>
        <w:rFonts w:ascii="Arial" w:hAnsi="Arial" w:hint="default"/>
      </w:rPr>
    </w:lvl>
    <w:lvl w:ilvl="4" w:tplc="4306C0F4" w:tentative="1">
      <w:start w:val="1"/>
      <w:numFmt w:val="bullet"/>
      <w:lvlText w:val="•"/>
      <w:lvlJc w:val="left"/>
      <w:pPr>
        <w:tabs>
          <w:tab w:val="num" w:pos="3600"/>
        </w:tabs>
        <w:ind w:left="3600" w:hanging="360"/>
      </w:pPr>
      <w:rPr>
        <w:rFonts w:ascii="Arial" w:hAnsi="Arial" w:hint="default"/>
      </w:rPr>
    </w:lvl>
    <w:lvl w:ilvl="5" w:tplc="D8EC8BD8" w:tentative="1">
      <w:start w:val="1"/>
      <w:numFmt w:val="bullet"/>
      <w:lvlText w:val="•"/>
      <w:lvlJc w:val="left"/>
      <w:pPr>
        <w:tabs>
          <w:tab w:val="num" w:pos="4320"/>
        </w:tabs>
        <w:ind w:left="4320" w:hanging="360"/>
      </w:pPr>
      <w:rPr>
        <w:rFonts w:ascii="Arial" w:hAnsi="Arial" w:hint="default"/>
      </w:rPr>
    </w:lvl>
    <w:lvl w:ilvl="6" w:tplc="7C2AF326" w:tentative="1">
      <w:start w:val="1"/>
      <w:numFmt w:val="bullet"/>
      <w:lvlText w:val="•"/>
      <w:lvlJc w:val="left"/>
      <w:pPr>
        <w:tabs>
          <w:tab w:val="num" w:pos="5040"/>
        </w:tabs>
        <w:ind w:left="5040" w:hanging="360"/>
      </w:pPr>
      <w:rPr>
        <w:rFonts w:ascii="Arial" w:hAnsi="Arial" w:hint="default"/>
      </w:rPr>
    </w:lvl>
    <w:lvl w:ilvl="7" w:tplc="B1244D12" w:tentative="1">
      <w:start w:val="1"/>
      <w:numFmt w:val="bullet"/>
      <w:lvlText w:val="•"/>
      <w:lvlJc w:val="left"/>
      <w:pPr>
        <w:tabs>
          <w:tab w:val="num" w:pos="5760"/>
        </w:tabs>
        <w:ind w:left="5760" w:hanging="360"/>
      </w:pPr>
      <w:rPr>
        <w:rFonts w:ascii="Arial" w:hAnsi="Arial" w:hint="default"/>
      </w:rPr>
    </w:lvl>
    <w:lvl w:ilvl="8" w:tplc="1B4CBA3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8332A91"/>
    <w:multiLevelType w:val="hybridMultilevel"/>
    <w:tmpl w:val="533A6414"/>
    <w:lvl w:ilvl="0" w:tplc="CA663F8C">
      <w:start w:val="1"/>
      <w:numFmt w:val="bullet"/>
      <w:lvlText w:val="•"/>
      <w:lvlJc w:val="left"/>
      <w:pPr>
        <w:tabs>
          <w:tab w:val="num" w:pos="720"/>
        </w:tabs>
        <w:ind w:left="720" w:hanging="360"/>
      </w:pPr>
      <w:rPr>
        <w:rFonts w:ascii="Arial" w:hAnsi="Arial" w:hint="default"/>
      </w:rPr>
    </w:lvl>
    <w:lvl w:ilvl="1" w:tplc="3E7EEEDA">
      <w:start w:val="276"/>
      <w:numFmt w:val="bullet"/>
      <w:lvlText w:val="–"/>
      <w:lvlJc w:val="left"/>
      <w:pPr>
        <w:tabs>
          <w:tab w:val="num" w:pos="1440"/>
        </w:tabs>
        <w:ind w:left="1440" w:hanging="360"/>
      </w:pPr>
      <w:rPr>
        <w:rFonts w:ascii="Arial" w:hAnsi="Arial" w:hint="default"/>
      </w:rPr>
    </w:lvl>
    <w:lvl w:ilvl="2" w:tplc="C8449570">
      <w:start w:val="276"/>
      <w:numFmt w:val="bullet"/>
      <w:lvlText w:val="•"/>
      <w:lvlJc w:val="left"/>
      <w:pPr>
        <w:tabs>
          <w:tab w:val="num" w:pos="2160"/>
        </w:tabs>
        <w:ind w:left="2160" w:hanging="360"/>
      </w:pPr>
      <w:rPr>
        <w:rFonts w:ascii="Arial" w:hAnsi="Arial" w:hint="default"/>
      </w:rPr>
    </w:lvl>
    <w:lvl w:ilvl="3" w:tplc="8E6C5ED2" w:tentative="1">
      <w:start w:val="1"/>
      <w:numFmt w:val="bullet"/>
      <w:lvlText w:val="•"/>
      <w:lvlJc w:val="left"/>
      <w:pPr>
        <w:tabs>
          <w:tab w:val="num" w:pos="2880"/>
        </w:tabs>
        <w:ind w:left="2880" w:hanging="360"/>
      </w:pPr>
      <w:rPr>
        <w:rFonts w:ascii="Arial" w:hAnsi="Arial" w:hint="default"/>
      </w:rPr>
    </w:lvl>
    <w:lvl w:ilvl="4" w:tplc="F56483AE" w:tentative="1">
      <w:start w:val="1"/>
      <w:numFmt w:val="bullet"/>
      <w:lvlText w:val="•"/>
      <w:lvlJc w:val="left"/>
      <w:pPr>
        <w:tabs>
          <w:tab w:val="num" w:pos="3600"/>
        </w:tabs>
        <w:ind w:left="3600" w:hanging="360"/>
      </w:pPr>
      <w:rPr>
        <w:rFonts w:ascii="Arial" w:hAnsi="Arial" w:hint="default"/>
      </w:rPr>
    </w:lvl>
    <w:lvl w:ilvl="5" w:tplc="1FDC9820" w:tentative="1">
      <w:start w:val="1"/>
      <w:numFmt w:val="bullet"/>
      <w:lvlText w:val="•"/>
      <w:lvlJc w:val="left"/>
      <w:pPr>
        <w:tabs>
          <w:tab w:val="num" w:pos="4320"/>
        </w:tabs>
        <w:ind w:left="4320" w:hanging="360"/>
      </w:pPr>
      <w:rPr>
        <w:rFonts w:ascii="Arial" w:hAnsi="Arial" w:hint="default"/>
      </w:rPr>
    </w:lvl>
    <w:lvl w:ilvl="6" w:tplc="724AE5B0" w:tentative="1">
      <w:start w:val="1"/>
      <w:numFmt w:val="bullet"/>
      <w:lvlText w:val="•"/>
      <w:lvlJc w:val="left"/>
      <w:pPr>
        <w:tabs>
          <w:tab w:val="num" w:pos="5040"/>
        </w:tabs>
        <w:ind w:left="5040" w:hanging="360"/>
      </w:pPr>
      <w:rPr>
        <w:rFonts w:ascii="Arial" w:hAnsi="Arial" w:hint="default"/>
      </w:rPr>
    </w:lvl>
    <w:lvl w:ilvl="7" w:tplc="2F124080" w:tentative="1">
      <w:start w:val="1"/>
      <w:numFmt w:val="bullet"/>
      <w:lvlText w:val="•"/>
      <w:lvlJc w:val="left"/>
      <w:pPr>
        <w:tabs>
          <w:tab w:val="num" w:pos="5760"/>
        </w:tabs>
        <w:ind w:left="5760" w:hanging="360"/>
      </w:pPr>
      <w:rPr>
        <w:rFonts w:ascii="Arial" w:hAnsi="Arial" w:hint="default"/>
      </w:rPr>
    </w:lvl>
    <w:lvl w:ilvl="8" w:tplc="C7EC36B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AA64084"/>
    <w:multiLevelType w:val="hybridMultilevel"/>
    <w:tmpl w:val="E6EEDE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3B962D8"/>
    <w:multiLevelType w:val="hybridMultilevel"/>
    <w:tmpl w:val="845068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AB67D5D"/>
    <w:multiLevelType w:val="hybridMultilevel"/>
    <w:tmpl w:val="6DFA6978"/>
    <w:lvl w:ilvl="0" w:tplc="84EE117A">
      <w:start w:val="1"/>
      <w:numFmt w:val="bullet"/>
      <w:lvlText w:val="•"/>
      <w:lvlJc w:val="left"/>
      <w:pPr>
        <w:tabs>
          <w:tab w:val="num" w:pos="720"/>
        </w:tabs>
        <w:ind w:left="720" w:hanging="360"/>
      </w:pPr>
      <w:rPr>
        <w:rFonts w:ascii="Arial" w:hAnsi="Arial" w:hint="default"/>
      </w:rPr>
    </w:lvl>
    <w:lvl w:ilvl="1" w:tplc="F28C9BA2">
      <w:start w:val="3935"/>
      <w:numFmt w:val="bullet"/>
      <w:lvlText w:val="–"/>
      <w:lvlJc w:val="left"/>
      <w:pPr>
        <w:tabs>
          <w:tab w:val="num" w:pos="1440"/>
        </w:tabs>
        <w:ind w:left="1440" w:hanging="360"/>
      </w:pPr>
      <w:rPr>
        <w:rFonts w:ascii="Arial" w:hAnsi="Arial" w:hint="default"/>
      </w:rPr>
    </w:lvl>
    <w:lvl w:ilvl="2" w:tplc="22CAFD20">
      <w:start w:val="3935"/>
      <w:numFmt w:val="bullet"/>
      <w:lvlText w:val="•"/>
      <w:lvlJc w:val="left"/>
      <w:pPr>
        <w:tabs>
          <w:tab w:val="num" w:pos="2160"/>
        </w:tabs>
        <w:ind w:left="2160" w:hanging="360"/>
      </w:pPr>
      <w:rPr>
        <w:rFonts w:ascii="Arial" w:hAnsi="Arial" w:hint="default"/>
      </w:rPr>
    </w:lvl>
    <w:lvl w:ilvl="3" w:tplc="73840EBC">
      <w:start w:val="3935"/>
      <w:numFmt w:val="bullet"/>
      <w:lvlText w:val="–"/>
      <w:lvlJc w:val="left"/>
      <w:pPr>
        <w:tabs>
          <w:tab w:val="num" w:pos="2880"/>
        </w:tabs>
        <w:ind w:left="2880" w:hanging="360"/>
      </w:pPr>
      <w:rPr>
        <w:rFonts w:ascii="Arial" w:hAnsi="Arial" w:hint="default"/>
      </w:rPr>
    </w:lvl>
    <w:lvl w:ilvl="4" w:tplc="B23653D0" w:tentative="1">
      <w:start w:val="1"/>
      <w:numFmt w:val="bullet"/>
      <w:lvlText w:val="•"/>
      <w:lvlJc w:val="left"/>
      <w:pPr>
        <w:tabs>
          <w:tab w:val="num" w:pos="3600"/>
        </w:tabs>
        <w:ind w:left="3600" w:hanging="360"/>
      </w:pPr>
      <w:rPr>
        <w:rFonts w:ascii="Arial" w:hAnsi="Arial" w:hint="default"/>
      </w:rPr>
    </w:lvl>
    <w:lvl w:ilvl="5" w:tplc="B2EA47C4" w:tentative="1">
      <w:start w:val="1"/>
      <w:numFmt w:val="bullet"/>
      <w:lvlText w:val="•"/>
      <w:lvlJc w:val="left"/>
      <w:pPr>
        <w:tabs>
          <w:tab w:val="num" w:pos="4320"/>
        </w:tabs>
        <w:ind w:left="4320" w:hanging="360"/>
      </w:pPr>
      <w:rPr>
        <w:rFonts w:ascii="Arial" w:hAnsi="Arial" w:hint="default"/>
      </w:rPr>
    </w:lvl>
    <w:lvl w:ilvl="6" w:tplc="8EC6CAAE" w:tentative="1">
      <w:start w:val="1"/>
      <w:numFmt w:val="bullet"/>
      <w:lvlText w:val="•"/>
      <w:lvlJc w:val="left"/>
      <w:pPr>
        <w:tabs>
          <w:tab w:val="num" w:pos="5040"/>
        </w:tabs>
        <w:ind w:left="5040" w:hanging="360"/>
      </w:pPr>
      <w:rPr>
        <w:rFonts w:ascii="Arial" w:hAnsi="Arial" w:hint="default"/>
      </w:rPr>
    </w:lvl>
    <w:lvl w:ilvl="7" w:tplc="175C9DDC" w:tentative="1">
      <w:start w:val="1"/>
      <w:numFmt w:val="bullet"/>
      <w:lvlText w:val="•"/>
      <w:lvlJc w:val="left"/>
      <w:pPr>
        <w:tabs>
          <w:tab w:val="num" w:pos="5760"/>
        </w:tabs>
        <w:ind w:left="5760" w:hanging="360"/>
      </w:pPr>
      <w:rPr>
        <w:rFonts w:ascii="Arial" w:hAnsi="Arial" w:hint="default"/>
      </w:rPr>
    </w:lvl>
    <w:lvl w:ilvl="8" w:tplc="93AEF74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CA34303"/>
    <w:multiLevelType w:val="hybridMultilevel"/>
    <w:tmpl w:val="2496D9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2CE7CAC"/>
    <w:multiLevelType w:val="hybridMultilevel"/>
    <w:tmpl w:val="52DC3180"/>
    <w:lvl w:ilvl="0" w:tplc="4F0E52F2">
      <w:start w:val="1"/>
      <w:numFmt w:val="bullet"/>
      <w:lvlText w:val="•"/>
      <w:lvlJc w:val="left"/>
      <w:pPr>
        <w:tabs>
          <w:tab w:val="num" w:pos="720"/>
        </w:tabs>
        <w:ind w:left="720" w:hanging="360"/>
      </w:pPr>
      <w:rPr>
        <w:rFonts w:ascii="Arial" w:hAnsi="Arial" w:hint="default"/>
      </w:rPr>
    </w:lvl>
    <w:lvl w:ilvl="1" w:tplc="7752FBB8">
      <w:start w:val="270"/>
      <w:numFmt w:val="bullet"/>
      <w:lvlText w:val="–"/>
      <w:lvlJc w:val="left"/>
      <w:pPr>
        <w:tabs>
          <w:tab w:val="num" w:pos="1440"/>
        </w:tabs>
        <w:ind w:left="1440" w:hanging="360"/>
      </w:pPr>
      <w:rPr>
        <w:rFonts w:ascii="Arial" w:hAnsi="Arial" w:hint="default"/>
      </w:rPr>
    </w:lvl>
    <w:lvl w:ilvl="2" w:tplc="51908704">
      <w:start w:val="270"/>
      <w:numFmt w:val="bullet"/>
      <w:lvlText w:val="•"/>
      <w:lvlJc w:val="left"/>
      <w:pPr>
        <w:tabs>
          <w:tab w:val="num" w:pos="2160"/>
        </w:tabs>
        <w:ind w:left="2160" w:hanging="360"/>
      </w:pPr>
      <w:rPr>
        <w:rFonts w:ascii="Arial" w:hAnsi="Arial" w:hint="default"/>
      </w:rPr>
    </w:lvl>
    <w:lvl w:ilvl="3" w:tplc="3EA81E6E" w:tentative="1">
      <w:start w:val="1"/>
      <w:numFmt w:val="bullet"/>
      <w:lvlText w:val="•"/>
      <w:lvlJc w:val="left"/>
      <w:pPr>
        <w:tabs>
          <w:tab w:val="num" w:pos="2880"/>
        </w:tabs>
        <w:ind w:left="2880" w:hanging="360"/>
      </w:pPr>
      <w:rPr>
        <w:rFonts w:ascii="Arial" w:hAnsi="Arial" w:hint="default"/>
      </w:rPr>
    </w:lvl>
    <w:lvl w:ilvl="4" w:tplc="B3BE2934" w:tentative="1">
      <w:start w:val="1"/>
      <w:numFmt w:val="bullet"/>
      <w:lvlText w:val="•"/>
      <w:lvlJc w:val="left"/>
      <w:pPr>
        <w:tabs>
          <w:tab w:val="num" w:pos="3600"/>
        </w:tabs>
        <w:ind w:left="3600" w:hanging="360"/>
      </w:pPr>
      <w:rPr>
        <w:rFonts w:ascii="Arial" w:hAnsi="Arial" w:hint="default"/>
      </w:rPr>
    </w:lvl>
    <w:lvl w:ilvl="5" w:tplc="1B84F33C" w:tentative="1">
      <w:start w:val="1"/>
      <w:numFmt w:val="bullet"/>
      <w:lvlText w:val="•"/>
      <w:lvlJc w:val="left"/>
      <w:pPr>
        <w:tabs>
          <w:tab w:val="num" w:pos="4320"/>
        </w:tabs>
        <w:ind w:left="4320" w:hanging="360"/>
      </w:pPr>
      <w:rPr>
        <w:rFonts w:ascii="Arial" w:hAnsi="Arial" w:hint="default"/>
      </w:rPr>
    </w:lvl>
    <w:lvl w:ilvl="6" w:tplc="F47CF0AE" w:tentative="1">
      <w:start w:val="1"/>
      <w:numFmt w:val="bullet"/>
      <w:lvlText w:val="•"/>
      <w:lvlJc w:val="left"/>
      <w:pPr>
        <w:tabs>
          <w:tab w:val="num" w:pos="5040"/>
        </w:tabs>
        <w:ind w:left="5040" w:hanging="360"/>
      </w:pPr>
      <w:rPr>
        <w:rFonts w:ascii="Arial" w:hAnsi="Arial" w:hint="default"/>
      </w:rPr>
    </w:lvl>
    <w:lvl w:ilvl="7" w:tplc="E562978E" w:tentative="1">
      <w:start w:val="1"/>
      <w:numFmt w:val="bullet"/>
      <w:lvlText w:val="•"/>
      <w:lvlJc w:val="left"/>
      <w:pPr>
        <w:tabs>
          <w:tab w:val="num" w:pos="5760"/>
        </w:tabs>
        <w:ind w:left="5760" w:hanging="360"/>
      </w:pPr>
      <w:rPr>
        <w:rFonts w:ascii="Arial" w:hAnsi="Arial" w:hint="default"/>
      </w:rPr>
    </w:lvl>
    <w:lvl w:ilvl="8" w:tplc="A70887D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71518F7"/>
    <w:multiLevelType w:val="hybridMultilevel"/>
    <w:tmpl w:val="01185954"/>
    <w:lvl w:ilvl="0" w:tplc="6486E682">
      <w:start w:val="1"/>
      <w:numFmt w:val="bullet"/>
      <w:lvlText w:val="•"/>
      <w:lvlJc w:val="left"/>
      <w:pPr>
        <w:tabs>
          <w:tab w:val="num" w:pos="720"/>
        </w:tabs>
        <w:ind w:left="720" w:hanging="360"/>
      </w:pPr>
      <w:rPr>
        <w:rFonts w:ascii="Arial" w:hAnsi="Arial" w:hint="default"/>
      </w:rPr>
    </w:lvl>
    <w:lvl w:ilvl="1" w:tplc="8BAE2F7A">
      <w:numFmt w:val="bullet"/>
      <w:lvlText w:val="–"/>
      <w:lvlJc w:val="left"/>
      <w:pPr>
        <w:tabs>
          <w:tab w:val="num" w:pos="1440"/>
        </w:tabs>
        <w:ind w:left="1440" w:hanging="360"/>
      </w:pPr>
      <w:rPr>
        <w:rFonts w:ascii="Arial" w:hAnsi="Arial" w:hint="default"/>
      </w:rPr>
    </w:lvl>
    <w:lvl w:ilvl="2" w:tplc="AA8C2EC2">
      <w:numFmt w:val="bullet"/>
      <w:lvlText w:val="•"/>
      <w:lvlJc w:val="left"/>
      <w:pPr>
        <w:tabs>
          <w:tab w:val="num" w:pos="2160"/>
        </w:tabs>
        <w:ind w:left="2160" w:hanging="360"/>
      </w:pPr>
      <w:rPr>
        <w:rFonts w:ascii="Arial" w:hAnsi="Arial" w:hint="default"/>
      </w:rPr>
    </w:lvl>
    <w:lvl w:ilvl="3" w:tplc="2BF8518E" w:tentative="1">
      <w:start w:val="1"/>
      <w:numFmt w:val="bullet"/>
      <w:lvlText w:val="•"/>
      <w:lvlJc w:val="left"/>
      <w:pPr>
        <w:tabs>
          <w:tab w:val="num" w:pos="2880"/>
        </w:tabs>
        <w:ind w:left="2880" w:hanging="360"/>
      </w:pPr>
      <w:rPr>
        <w:rFonts w:ascii="Arial" w:hAnsi="Arial" w:hint="default"/>
      </w:rPr>
    </w:lvl>
    <w:lvl w:ilvl="4" w:tplc="18E66FAE" w:tentative="1">
      <w:start w:val="1"/>
      <w:numFmt w:val="bullet"/>
      <w:lvlText w:val="•"/>
      <w:lvlJc w:val="left"/>
      <w:pPr>
        <w:tabs>
          <w:tab w:val="num" w:pos="3600"/>
        </w:tabs>
        <w:ind w:left="3600" w:hanging="360"/>
      </w:pPr>
      <w:rPr>
        <w:rFonts w:ascii="Arial" w:hAnsi="Arial" w:hint="default"/>
      </w:rPr>
    </w:lvl>
    <w:lvl w:ilvl="5" w:tplc="D5D87196" w:tentative="1">
      <w:start w:val="1"/>
      <w:numFmt w:val="bullet"/>
      <w:lvlText w:val="•"/>
      <w:lvlJc w:val="left"/>
      <w:pPr>
        <w:tabs>
          <w:tab w:val="num" w:pos="4320"/>
        </w:tabs>
        <w:ind w:left="4320" w:hanging="360"/>
      </w:pPr>
      <w:rPr>
        <w:rFonts w:ascii="Arial" w:hAnsi="Arial" w:hint="default"/>
      </w:rPr>
    </w:lvl>
    <w:lvl w:ilvl="6" w:tplc="07E4380A" w:tentative="1">
      <w:start w:val="1"/>
      <w:numFmt w:val="bullet"/>
      <w:lvlText w:val="•"/>
      <w:lvlJc w:val="left"/>
      <w:pPr>
        <w:tabs>
          <w:tab w:val="num" w:pos="5040"/>
        </w:tabs>
        <w:ind w:left="5040" w:hanging="360"/>
      </w:pPr>
      <w:rPr>
        <w:rFonts w:ascii="Arial" w:hAnsi="Arial" w:hint="default"/>
      </w:rPr>
    </w:lvl>
    <w:lvl w:ilvl="7" w:tplc="424EFFCC" w:tentative="1">
      <w:start w:val="1"/>
      <w:numFmt w:val="bullet"/>
      <w:lvlText w:val="•"/>
      <w:lvlJc w:val="left"/>
      <w:pPr>
        <w:tabs>
          <w:tab w:val="num" w:pos="5760"/>
        </w:tabs>
        <w:ind w:left="5760" w:hanging="360"/>
      </w:pPr>
      <w:rPr>
        <w:rFonts w:ascii="Arial" w:hAnsi="Arial" w:hint="default"/>
      </w:rPr>
    </w:lvl>
    <w:lvl w:ilvl="8" w:tplc="D9483E1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D3D34DE"/>
    <w:multiLevelType w:val="hybridMultilevel"/>
    <w:tmpl w:val="8B34F4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3156EAD"/>
    <w:multiLevelType w:val="hybridMultilevel"/>
    <w:tmpl w:val="E4AAF8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49B6D0C"/>
    <w:multiLevelType w:val="hybridMultilevel"/>
    <w:tmpl w:val="53183394"/>
    <w:lvl w:ilvl="0" w:tplc="38E634CC">
      <w:start w:val="1"/>
      <w:numFmt w:val="bullet"/>
      <w:lvlText w:val="•"/>
      <w:lvlJc w:val="left"/>
      <w:pPr>
        <w:tabs>
          <w:tab w:val="num" w:pos="720"/>
        </w:tabs>
        <w:ind w:left="720" w:hanging="360"/>
      </w:pPr>
      <w:rPr>
        <w:rFonts w:ascii="Arial" w:hAnsi="Arial" w:hint="default"/>
      </w:rPr>
    </w:lvl>
    <w:lvl w:ilvl="1" w:tplc="E0D8563C">
      <w:start w:val="4018"/>
      <w:numFmt w:val="bullet"/>
      <w:lvlText w:val="–"/>
      <w:lvlJc w:val="left"/>
      <w:pPr>
        <w:tabs>
          <w:tab w:val="num" w:pos="1440"/>
        </w:tabs>
        <w:ind w:left="1440" w:hanging="360"/>
      </w:pPr>
      <w:rPr>
        <w:rFonts w:ascii="Arial" w:hAnsi="Arial" w:hint="default"/>
      </w:rPr>
    </w:lvl>
    <w:lvl w:ilvl="2" w:tplc="990CFC56">
      <w:start w:val="4018"/>
      <w:numFmt w:val="bullet"/>
      <w:lvlText w:val="•"/>
      <w:lvlJc w:val="left"/>
      <w:pPr>
        <w:tabs>
          <w:tab w:val="num" w:pos="2160"/>
        </w:tabs>
        <w:ind w:left="2160" w:hanging="360"/>
      </w:pPr>
      <w:rPr>
        <w:rFonts w:ascii="Arial" w:hAnsi="Arial" w:hint="default"/>
      </w:rPr>
    </w:lvl>
    <w:lvl w:ilvl="3" w:tplc="FC1A3FCC" w:tentative="1">
      <w:start w:val="1"/>
      <w:numFmt w:val="bullet"/>
      <w:lvlText w:val="•"/>
      <w:lvlJc w:val="left"/>
      <w:pPr>
        <w:tabs>
          <w:tab w:val="num" w:pos="2880"/>
        </w:tabs>
        <w:ind w:left="2880" w:hanging="360"/>
      </w:pPr>
      <w:rPr>
        <w:rFonts w:ascii="Arial" w:hAnsi="Arial" w:hint="default"/>
      </w:rPr>
    </w:lvl>
    <w:lvl w:ilvl="4" w:tplc="D25825E8" w:tentative="1">
      <w:start w:val="1"/>
      <w:numFmt w:val="bullet"/>
      <w:lvlText w:val="•"/>
      <w:lvlJc w:val="left"/>
      <w:pPr>
        <w:tabs>
          <w:tab w:val="num" w:pos="3600"/>
        </w:tabs>
        <w:ind w:left="3600" w:hanging="360"/>
      </w:pPr>
      <w:rPr>
        <w:rFonts w:ascii="Arial" w:hAnsi="Arial" w:hint="default"/>
      </w:rPr>
    </w:lvl>
    <w:lvl w:ilvl="5" w:tplc="B46042AC" w:tentative="1">
      <w:start w:val="1"/>
      <w:numFmt w:val="bullet"/>
      <w:lvlText w:val="•"/>
      <w:lvlJc w:val="left"/>
      <w:pPr>
        <w:tabs>
          <w:tab w:val="num" w:pos="4320"/>
        </w:tabs>
        <w:ind w:left="4320" w:hanging="360"/>
      </w:pPr>
      <w:rPr>
        <w:rFonts w:ascii="Arial" w:hAnsi="Arial" w:hint="default"/>
      </w:rPr>
    </w:lvl>
    <w:lvl w:ilvl="6" w:tplc="0F324094" w:tentative="1">
      <w:start w:val="1"/>
      <w:numFmt w:val="bullet"/>
      <w:lvlText w:val="•"/>
      <w:lvlJc w:val="left"/>
      <w:pPr>
        <w:tabs>
          <w:tab w:val="num" w:pos="5040"/>
        </w:tabs>
        <w:ind w:left="5040" w:hanging="360"/>
      </w:pPr>
      <w:rPr>
        <w:rFonts w:ascii="Arial" w:hAnsi="Arial" w:hint="default"/>
      </w:rPr>
    </w:lvl>
    <w:lvl w:ilvl="7" w:tplc="FCB6560A" w:tentative="1">
      <w:start w:val="1"/>
      <w:numFmt w:val="bullet"/>
      <w:lvlText w:val="•"/>
      <w:lvlJc w:val="left"/>
      <w:pPr>
        <w:tabs>
          <w:tab w:val="num" w:pos="5760"/>
        </w:tabs>
        <w:ind w:left="5760" w:hanging="360"/>
      </w:pPr>
      <w:rPr>
        <w:rFonts w:ascii="Arial" w:hAnsi="Arial" w:hint="default"/>
      </w:rPr>
    </w:lvl>
    <w:lvl w:ilvl="8" w:tplc="21447CA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5C75086"/>
    <w:multiLevelType w:val="hybridMultilevel"/>
    <w:tmpl w:val="069E5B10"/>
    <w:lvl w:ilvl="0" w:tplc="F60262F6">
      <w:start w:val="1"/>
      <w:numFmt w:val="bullet"/>
      <w:lvlText w:val="•"/>
      <w:lvlJc w:val="left"/>
      <w:pPr>
        <w:tabs>
          <w:tab w:val="num" w:pos="720"/>
        </w:tabs>
        <w:ind w:left="720" w:hanging="360"/>
      </w:pPr>
      <w:rPr>
        <w:rFonts w:ascii="Arial" w:hAnsi="Arial" w:hint="default"/>
      </w:rPr>
    </w:lvl>
    <w:lvl w:ilvl="1" w:tplc="E60015A0">
      <w:numFmt w:val="bullet"/>
      <w:lvlText w:val="–"/>
      <w:lvlJc w:val="left"/>
      <w:pPr>
        <w:tabs>
          <w:tab w:val="num" w:pos="1440"/>
        </w:tabs>
        <w:ind w:left="1440" w:hanging="360"/>
      </w:pPr>
      <w:rPr>
        <w:rFonts w:ascii="Arial" w:hAnsi="Arial" w:hint="default"/>
      </w:rPr>
    </w:lvl>
    <w:lvl w:ilvl="2" w:tplc="1C2AC3B8">
      <w:start w:val="1"/>
      <w:numFmt w:val="bullet"/>
      <w:lvlText w:val="•"/>
      <w:lvlJc w:val="left"/>
      <w:pPr>
        <w:tabs>
          <w:tab w:val="num" w:pos="2160"/>
        </w:tabs>
        <w:ind w:left="2160" w:hanging="360"/>
      </w:pPr>
      <w:rPr>
        <w:rFonts w:ascii="Arial" w:hAnsi="Arial" w:hint="default"/>
      </w:rPr>
    </w:lvl>
    <w:lvl w:ilvl="3" w:tplc="087E0694">
      <w:start w:val="1"/>
      <w:numFmt w:val="bullet"/>
      <w:lvlText w:val="•"/>
      <w:lvlJc w:val="left"/>
      <w:pPr>
        <w:tabs>
          <w:tab w:val="num" w:pos="2880"/>
        </w:tabs>
        <w:ind w:left="2880" w:hanging="360"/>
      </w:pPr>
      <w:rPr>
        <w:rFonts w:ascii="Arial" w:hAnsi="Arial" w:hint="default"/>
      </w:rPr>
    </w:lvl>
    <w:lvl w:ilvl="4" w:tplc="DA2EBC98" w:tentative="1">
      <w:start w:val="1"/>
      <w:numFmt w:val="bullet"/>
      <w:lvlText w:val="•"/>
      <w:lvlJc w:val="left"/>
      <w:pPr>
        <w:tabs>
          <w:tab w:val="num" w:pos="3600"/>
        </w:tabs>
        <w:ind w:left="3600" w:hanging="360"/>
      </w:pPr>
      <w:rPr>
        <w:rFonts w:ascii="Arial" w:hAnsi="Arial" w:hint="default"/>
      </w:rPr>
    </w:lvl>
    <w:lvl w:ilvl="5" w:tplc="8596490A" w:tentative="1">
      <w:start w:val="1"/>
      <w:numFmt w:val="bullet"/>
      <w:lvlText w:val="•"/>
      <w:lvlJc w:val="left"/>
      <w:pPr>
        <w:tabs>
          <w:tab w:val="num" w:pos="4320"/>
        </w:tabs>
        <w:ind w:left="4320" w:hanging="360"/>
      </w:pPr>
      <w:rPr>
        <w:rFonts w:ascii="Arial" w:hAnsi="Arial" w:hint="default"/>
      </w:rPr>
    </w:lvl>
    <w:lvl w:ilvl="6" w:tplc="5B8C8E66" w:tentative="1">
      <w:start w:val="1"/>
      <w:numFmt w:val="bullet"/>
      <w:lvlText w:val="•"/>
      <w:lvlJc w:val="left"/>
      <w:pPr>
        <w:tabs>
          <w:tab w:val="num" w:pos="5040"/>
        </w:tabs>
        <w:ind w:left="5040" w:hanging="360"/>
      </w:pPr>
      <w:rPr>
        <w:rFonts w:ascii="Arial" w:hAnsi="Arial" w:hint="default"/>
      </w:rPr>
    </w:lvl>
    <w:lvl w:ilvl="7" w:tplc="6EC27684" w:tentative="1">
      <w:start w:val="1"/>
      <w:numFmt w:val="bullet"/>
      <w:lvlText w:val="•"/>
      <w:lvlJc w:val="left"/>
      <w:pPr>
        <w:tabs>
          <w:tab w:val="num" w:pos="5760"/>
        </w:tabs>
        <w:ind w:left="5760" w:hanging="360"/>
      </w:pPr>
      <w:rPr>
        <w:rFonts w:ascii="Arial" w:hAnsi="Arial" w:hint="default"/>
      </w:rPr>
    </w:lvl>
    <w:lvl w:ilvl="8" w:tplc="355EA84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5CE6890"/>
    <w:multiLevelType w:val="hybridMultilevel"/>
    <w:tmpl w:val="6E0C32A8"/>
    <w:lvl w:ilvl="0" w:tplc="E40C33F0">
      <w:start w:val="1"/>
      <w:numFmt w:val="bullet"/>
      <w:lvlText w:val="•"/>
      <w:lvlJc w:val="left"/>
      <w:pPr>
        <w:tabs>
          <w:tab w:val="num" w:pos="720"/>
        </w:tabs>
        <w:ind w:left="720" w:hanging="360"/>
      </w:pPr>
      <w:rPr>
        <w:rFonts w:ascii="Arial" w:hAnsi="Arial" w:hint="default"/>
      </w:rPr>
    </w:lvl>
    <w:lvl w:ilvl="1" w:tplc="FC2CDD6C">
      <w:start w:val="259"/>
      <w:numFmt w:val="bullet"/>
      <w:lvlText w:val="•"/>
      <w:lvlJc w:val="left"/>
      <w:pPr>
        <w:tabs>
          <w:tab w:val="num" w:pos="1440"/>
        </w:tabs>
        <w:ind w:left="1440" w:hanging="360"/>
      </w:pPr>
      <w:rPr>
        <w:rFonts w:ascii="Arial" w:hAnsi="Arial" w:hint="default"/>
      </w:rPr>
    </w:lvl>
    <w:lvl w:ilvl="2" w:tplc="235CE83C">
      <w:start w:val="259"/>
      <w:numFmt w:val="bullet"/>
      <w:lvlText w:val="•"/>
      <w:lvlJc w:val="left"/>
      <w:pPr>
        <w:tabs>
          <w:tab w:val="num" w:pos="2160"/>
        </w:tabs>
        <w:ind w:left="2160" w:hanging="360"/>
      </w:pPr>
      <w:rPr>
        <w:rFonts w:ascii="Arial" w:hAnsi="Arial" w:hint="default"/>
      </w:rPr>
    </w:lvl>
    <w:lvl w:ilvl="3" w:tplc="E076D24E">
      <w:start w:val="1"/>
      <w:numFmt w:val="bullet"/>
      <w:lvlText w:val="•"/>
      <w:lvlJc w:val="left"/>
      <w:pPr>
        <w:tabs>
          <w:tab w:val="num" w:pos="2880"/>
        </w:tabs>
        <w:ind w:left="2880" w:hanging="360"/>
      </w:pPr>
      <w:rPr>
        <w:rFonts w:ascii="Arial" w:hAnsi="Arial" w:hint="default"/>
      </w:rPr>
    </w:lvl>
    <w:lvl w:ilvl="4" w:tplc="80C6C7A6" w:tentative="1">
      <w:start w:val="1"/>
      <w:numFmt w:val="bullet"/>
      <w:lvlText w:val="•"/>
      <w:lvlJc w:val="left"/>
      <w:pPr>
        <w:tabs>
          <w:tab w:val="num" w:pos="3600"/>
        </w:tabs>
        <w:ind w:left="3600" w:hanging="360"/>
      </w:pPr>
      <w:rPr>
        <w:rFonts w:ascii="Arial" w:hAnsi="Arial" w:hint="default"/>
      </w:rPr>
    </w:lvl>
    <w:lvl w:ilvl="5" w:tplc="A7C0243A" w:tentative="1">
      <w:start w:val="1"/>
      <w:numFmt w:val="bullet"/>
      <w:lvlText w:val="•"/>
      <w:lvlJc w:val="left"/>
      <w:pPr>
        <w:tabs>
          <w:tab w:val="num" w:pos="4320"/>
        </w:tabs>
        <w:ind w:left="4320" w:hanging="360"/>
      </w:pPr>
      <w:rPr>
        <w:rFonts w:ascii="Arial" w:hAnsi="Arial" w:hint="default"/>
      </w:rPr>
    </w:lvl>
    <w:lvl w:ilvl="6" w:tplc="2F624886" w:tentative="1">
      <w:start w:val="1"/>
      <w:numFmt w:val="bullet"/>
      <w:lvlText w:val="•"/>
      <w:lvlJc w:val="left"/>
      <w:pPr>
        <w:tabs>
          <w:tab w:val="num" w:pos="5040"/>
        </w:tabs>
        <w:ind w:left="5040" w:hanging="360"/>
      </w:pPr>
      <w:rPr>
        <w:rFonts w:ascii="Arial" w:hAnsi="Arial" w:hint="default"/>
      </w:rPr>
    </w:lvl>
    <w:lvl w:ilvl="7" w:tplc="98686F12" w:tentative="1">
      <w:start w:val="1"/>
      <w:numFmt w:val="bullet"/>
      <w:lvlText w:val="•"/>
      <w:lvlJc w:val="left"/>
      <w:pPr>
        <w:tabs>
          <w:tab w:val="num" w:pos="5760"/>
        </w:tabs>
        <w:ind w:left="5760" w:hanging="360"/>
      </w:pPr>
      <w:rPr>
        <w:rFonts w:ascii="Arial" w:hAnsi="Arial" w:hint="default"/>
      </w:rPr>
    </w:lvl>
    <w:lvl w:ilvl="8" w:tplc="8CD08AD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6477712"/>
    <w:multiLevelType w:val="hybridMultilevel"/>
    <w:tmpl w:val="844282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6B85F8A"/>
    <w:multiLevelType w:val="hybridMultilevel"/>
    <w:tmpl w:val="15B03DAC"/>
    <w:lvl w:ilvl="0" w:tplc="441AE70A">
      <w:start w:val="1"/>
      <w:numFmt w:val="bullet"/>
      <w:lvlText w:val="•"/>
      <w:lvlJc w:val="left"/>
      <w:pPr>
        <w:tabs>
          <w:tab w:val="num" w:pos="720"/>
        </w:tabs>
        <w:ind w:left="720" w:hanging="360"/>
      </w:pPr>
      <w:rPr>
        <w:rFonts w:ascii="Arial" w:hAnsi="Arial" w:hint="default"/>
      </w:rPr>
    </w:lvl>
    <w:lvl w:ilvl="1" w:tplc="24CE7B52">
      <w:start w:val="1"/>
      <w:numFmt w:val="bullet"/>
      <w:lvlText w:val="•"/>
      <w:lvlJc w:val="left"/>
      <w:pPr>
        <w:tabs>
          <w:tab w:val="num" w:pos="1440"/>
        </w:tabs>
        <w:ind w:left="1440" w:hanging="360"/>
      </w:pPr>
      <w:rPr>
        <w:rFonts w:ascii="Arial" w:hAnsi="Arial" w:hint="default"/>
      </w:rPr>
    </w:lvl>
    <w:lvl w:ilvl="2" w:tplc="76901246" w:tentative="1">
      <w:start w:val="1"/>
      <w:numFmt w:val="bullet"/>
      <w:lvlText w:val="•"/>
      <w:lvlJc w:val="left"/>
      <w:pPr>
        <w:tabs>
          <w:tab w:val="num" w:pos="2160"/>
        </w:tabs>
        <w:ind w:left="2160" w:hanging="360"/>
      </w:pPr>
      <w:rPr>
        <w:rFonts w:ascii="Arial" w:hAnsi="Arial" w:hint="default"/>
      </w:rPr>
    </w:lvl>
    <w:lvl w:ilvl="3" w:tplc="69AC7886" w:tentative="1">
      <w:start w:val="1"/>
      <w:numFmt w:val="bullet"/>
      <w:lvlText w:val="•"/>
      <w:lvlJc w:val="left"/>
      <w:pPr>
        <w:tabs>
          <w:tab w:val="num" w:pos="2880"/>
        </w:tabs>
        <w:ind w:left="2880" w:hanging="360"/>
      </w:pPr>
      <w:rPr>
        <w:rFonts w:ascii="Arial" w:hAnsi="Arial" w:hint="default"/>
      </w:rPr>
    </w:lvl>
    <w:lvl w:ilvl="4" w:tplc="3BAA3114" w:tentative="1">
      <w:start w:val="1"/>
      <w:numFmt w:val="bullet"/>
      <w:lvlText w:val="•"/>
      <w:lvlJc w:val="left"/>
      <w:pPr>
        <w:tabs>
          <w:tab w:val="num" w:pos="3600"/>
        </w:tabs>
        <w:ind w:left="3600" w:hanging="360"/>
      </w:pPr>
      <w:rPr>
        <w:rFonts w:ascii="Arial" w:hAnsi="Arial" w:hint="default"/>
      </w:rPr>
    </w:lvl>
    <w:lvl w:ilvl="5" w:tplc="367A4FC8" w:tentative="1">
      <w:start w:val="1"/>
      <w:numFmt w:val="bullet"/>
      <w:lvlText w:val="•"/>
      <w:lvlJc w:val="left"/>
      <w:pPr>
        <w:tabs>
          <w:tab w:val="num" w:pos="4320"/>
        </w:tabs>
        <w:ind w:left="4320" w:hanging="360"/>
      </w:pPr>
      <w:rPr>
        <w:rFonts w:ascii="Arial" w:hAnsi="Arial" w:hint="default"/>
      </w:rPr>
    </w:lvl>
    <w:lvl w:ilvl="6" w:tplc="2A288CF4" w:tentative="1">
      <w:start w:val="1"/>
      <w:numFmt w:val="bullet"/>
      <w:lvlText w:val="•"/>
      <w:lvlJc w:val="left"/>
      <w:pPr>
        <w:tabs>
          <w:tab w:val="num" w:pos="5040"/>
        </w:tabs>
        <w:ind w:left="5040" w:hanging="360"/>
      </w:pPr>
      <w:rPr>
        <w:rFonts w:ascii="Arial" w:hAnsi="Arial" w:hint="default"/>
      </w:rPr>
    </w:lvl>
    <w:lvl w:ilvl="7" w:tplc="EAA0AB36" w:tentative="1">
      <w:start w:val="1"/>
      <w:numFmt w:val="bullet"/>
      <w:lvlText w:val="•"/>
      <w:lvlJc w:val="left"/>
      <w:pPr>
        <w:tabs>
          <w:tab w:val="num" w:pos="5760"/>
        </w:tabs>
        <w:ind w:left="5760" w:hanging="360"/>
      </w:pPr>
      <w:rPr>
        <w:rFonts w:ascii="Arial" w:hAnsi="Arial" w:hint="default"/>
      </w:rPr>
    </w:lvl>
    <w:lvl w:ilvl="8" w:tplc="D6D64FA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8A8493F"/>
    <w:multiLevelType w:val="hybridMultilevel"/>
    <w:tmpl w:val="7C5A00EE"/>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29" w15:restartNumberingAfterBreak="0">
    <w:nsid w:val="735F4C75"/>
    <w:multiLevelType w:val="hybridMultilevel"/>
    <w:tmpl w:val="BB1CB1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56B4CA4"/>
    <w:multiLevelType w:val="hybridMultilevel"/>
    <w:tmpl w:val="AA5C39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702499F"/>
    <w:multiLevelType w:val="hybridMultilevel"/>
    <w:tmpl w:val="27928F0C"/>
    <w:lvl w:ilvl="0" w:tplc="24589F4C">
      <w:start w:val="1"/>
      <w:numFmt w:val="bullet"/>
      <w:lvlText w:val="•"/>
      <w:lvlJc w:val="left"/>
      <w:pPr>
        <w:tabs>
          <w:tab w:val="num" w:pos="720"/>
        </w:tabs>
        <w:ind w:left="720" w:hanging="360"/>
      </w:pPr>
      <w:rPr>
        <w:rFonts w:ascii="Arial" w:hAnsi="Arial" w:hint="default"/>
      </w:rPr>
    </w:lvl>
    <w:lvl w:ilvl="1" w:tplc="9C306EFE">
      <w:numFmt w:val="bullet"/>
      <w:lvlText w:val="–"/>
      <w:lvlJc w:val="left"/>
      <w:pPr>
        <w:tabs>
          <w:tab w:val="num" w:pos="1440"/>
        </w:tabs>
        <w:ind w:left="1440" w:hanging="360"/>
      </w:pPr>
      <w:rPr>
        <w:rFonts w:ascii="Arial" w:hAnsi="Arial" w:hint="default"/>
      </w:rPr>
    </w:lvl>
    <w:lvl w:ilvl="2" w:tplc="A372C8F0">
      <w:numFmt w:val="bullet"/>
      <w:lvlText w:val="•"/>
      <w:lvlJc w:val="left"/>
      <w:pPr>
        <w:tabs>
          <w:tab w:val="num" w:pos="2160"/>
        </w:tabs>
        <w:ind w:left="2160" w:hanging="360"/>
      </w:pPr>
      <w:rPr>
        <w:rFonts w:ascii="Arial" w:hAnsi="Arial" w:hint="default"/>
      </w:rPr>
    </w:lvl>
    <w:lvl w:ilvl="3" w:tplc="3312834E">
      <w:numFmt w:val="bullet"/>
      <w:lvlText w:val="–"/>
      <w:lvlJc w:val="left"/>
      <w:pPr>
        <w:tabs>
          <w:tab w:val="num" w:pos="2880"/>
        </w:tabs>
        <w:ind w:left="2880" w:hanging="360"/>
      </w:pPr>
      <w:rPr>
        <w:rFonts w:ascii="Arial" w:hAnsi="Arial" w:hint="default"/>
      </w:rPr>
    </w:lvl>
    <w:lvl w:ilvl="4" w:tplc="E2E64454" w:tentative="1">
      <w:start w:val="1"/>
      <w:numFmt w:val="bullet"/>
      <w:lvlText w:val="•"/>
      <w:lvlJc w:val="left"/>
      <w:pPr>
        <w:tabs>
          <w:tab w:val="num" w:pos="3600"/>
        </w:tabs>
        <w:ind w:left="3600" w:hanging="360"/>
      </w:pPr>
      <w:rPr>
        <w:rFonts w:ascii="Arial" w:hAnsi="Arial" w:hint="default"/>
      </w:rPr>
    </w:lvl>
    <w:lvl w:ilvl="5" w:tplc="D1B4A13E" w:tentative="1">
      <w:start w:val="1"/>
      <w:numFmt w:val="bullet"/>
      <w:lvlText w:val="•"/>
      <w:lvlJc w:val="left"/>
      <w:pPr>
        <w:tabs>
          <w:tab w:val="num" w:pos="4320"/>
        </w:tabs>
        <w:ind w:left="4320" w:hanging="360"/>
      </w:pPr>
      <w:rPr>
        <w:rFonts w:ascii="Arial" w:hAnsi="Arial" w:hint="default"/>
      </w:rPr>
    </w:lvl>
    <w:lvl w:ilvl="6" w:tplc="4BF694B0" w:tentative="1">
      <w:start w:val="1"/>
      <w:numFmt w:val="bullet"/>
      <w:lvlText w:val="•"/>
      <w:lvlJc w:val="left"/>
      <w:pPr>
        <w:tabs>
          <w:tab w:val="num" w:pos="5040"/>
        </w:tabs>
        <w:ind w:left="5040" w:hanging="360"/>
      </w:pPr>
      <w:rPr>
        <w:rFonts w:ascii="Arial" w:hAnsi="Arial" w:hint="default"/>
      </w:rPr>
    </w:lvl>
    <w:lvl w:ilvl="7" w:tplc="98CC7654" w:tentative="1">
      <w:start w:val="1"/>
      <w:numFmt w:val="bullet"/>
      <w:lvlText w:val="•"/>
      <w:lvlJc w:val="left"/>
      <w:pPr>
        <w:tabs>
          <w:tab w:val="num" w:pos="5760"/>
        </w:tabs>
        <w:ind w:left="5760" w:hanging="360"/>
      </w:pPr>
      <w:rPr>
        <w:rFonts w:ascii="Arial" w:hAnsi="Arial" w:hint="default"/>
      </w:rPr>
    </w:lvl>
    <w:lvl w:ilvl="8" w:tplc="FA0ADE44"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7665765"/>
    <w:multiLevelType w:val="hybridMultilevel"/>
    <w:tmpl w:val="019AB7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5109C5"/>
    <w:multiLevelType w:val="hybridMultilevel"/>
    <w:tmpl w:val="0BA63B54"/>
    <w:lvl w:ilvl="0" w:tplc="5C7A3878">
      <w:start w:val="1"/>
      <w:numFmt w:val="bullet"/>
      <w:lvlText w:val="•"/>
      <w:lvlJc w:val="left"/>
      <w:pPr>
        <w:tabs>
          <w:tab w:val="num" w:pos="720"/>
        </w:tabs>
        <w:ind w:left="720" w:hanging="360"/>
      </w:pPr>
      <w:rPr>
        <w:rFonts w:ascii="Arial" w:hAnsi="Arial" w:hint="default"/>
      </w:rPr>
    </w:lvl>
    <w:lvl w:ilvl="1" w:tplc="B57CCA40">
      <w:start w:val="2730"/>
      <w:numFmt w:val="bullet"/>
      <w:lvlText w:val="–"/>
      <w:lvlJc w:val="left"/>
      <w:pPr>
        <w:tabs>
          <w:tab w:val="num" w:pos="1440"/>
        </w:tabs>
        <w:ind w:left="1440" w:hanging="360"/>
      </w:pPr>
      <w:rPr>
        <w:rFonts w:ascii="Arial" w:hAnsi="Arial" w:hint="default"/>
      </w:rPr>
    </w:lvl>
    <w:lvl w:ilvl="2" w:tplc="7CFE7CE8">
      <w:start w:val="2730"/>
      <w:numFmt w:val="bullet"/>
      <w:lvlText w:val="•"/>
      <w:lvlJc w:val="left"/>
      <w:pPr>
        <w:tabs>
          <w:tab w:val="num" w:pos="2160"/>
        </w:tabs>
        <w:ind w:left="2160" w:hanging="360"/>
      </w:pPr>
      <w:rPr>
        <w:rFonts w:ascii="Arial" w:hAnsi="Arial" w:hint="default"/>
      </w:rPr>
    </w:lvl>
    <w:lvl w:ilvl="3" w:tplc="76BC9800" w:tentative="1">
      <w:start w:val="1"/>
      <w:numFmt w:val="bullet"/>
      <w:lvlText w:val="•"/>
      <w:lvlJc w:val="left"/>
      <w:pPr>
        <w:tabs>
          <w:tab w:val="num" w:pos="2880"/>
        </w:tabs>
        <w:ind w:left="2880" w:hanging="360"/>
      </w:pPr>
      <w:rPr>
        <w:rFonts w:ascii="Arial" w:hAnsi="Arial" w:hint="default"/>
      </w:rPr>
    </w:lvl>
    <w:lvl w:ilvl="4" w:tplc="9C668060" w:tentative="1">
      <w:start w:val="1"/>
      <w:numFmt w:val="bullet"/>
      <w:lvlText w:val="•"/>
      <w:lvlJc w:val="left"/>
      <w:pPr>
        <w:tabs>
          <w:tab w:val="num" w:pos="3600"/>
        </w:tabs>
        <w:ind w:left="3600" w:hanging="360"/>
      </w:pPr>
      <w:rPr>
        <w:rFonts w:ascii="Arial" w:hAnsi="Arial" w:hint="default"/>
      </w:rPr>
    </w:lvl>
    <w:lvl w:ilvl="5" w:tplc="4E7C779E" w:tentative="1">
      <w:start w:val="1"/>
      <w:numFmt w:val="bullet"/>
      <w:lvlText w:val="•"/>
      <w:lvlJc w:val="left"/>
      <w:pPr>
        <w:tabs>
          <w:tab w:val="num" w:pos="4320"/>
        </w:tabs>
        <w:ind w:left="4320" w:hanging="360"/>
      </w:pPr>
      <w:rPr>
        <w:rFonts w:ascii="Arial" w:hAnsi="Arial" w:hint="default"/>
      </w:rPr>
    </w:lvl>
    <w:lvl w:ilvl="6" w:tplc="8434259E" w:tentative="1">
      <w:start w:val="1"/>
      <w:numFmt w:val="bullet"/>
      <w:lvlText w:val="•"/>
      <w:lvlJc w:val="left"/>
      <w:pPr>
        <w:tabs>
          <w:tab w:val="num" w:pos="5040"/>
        </w:tabs>
        <w:ind w:left="5040" w:hanging="360"/>
      </w:pPr>
      <w:rPr>
        <w:rFonts w:ascii="Arial" w:hAnsi="Arial" w:hint="default"/>
      </w:rPr>
    </w:lvl>
    <w:lvl w:ilvl="7" w:tplc="68980D82" w:tentative="1">
      <w:start w:val="1"/>
      <w:numFmt w:val="bullet"/>
      <w:lvlText w:val="•"/>
      <w:lvlJc w:val="left"/>
      <w:pPr>
        <w:tabs>
          <w:tab w:val="num" w:pos="5760"/>
        </w:tabs>
        <w:ind w:left="5760" w:hanging="360"/>
      </w:pPr>
      <w:rPr>
        <w:rFonts w:ascii="Arial" w:hAnsi="Arial" w:hint="default"/>
      </w:rPr>
    </w:lvl>
    <w:lvl w:ilvl="8" w:tplc="7BE467D8"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BF773BB"/>
    <w:multiLevelType w:val="hybridMultilevel"/>
    <w:tmpl w:val="1E6A1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3"/>
  </w:num>
  <w:num w:numId="4">
    <w:abstractNumId w:val="5"/>
  </w:num>
  <w:num w:numId="5">
    <w:abstractNumId w:val="12"/>
  </w:num>
  <w:num w:numId="6">
    <w:abstractNumId w:val="7"/>
  </w:num>
  <w:num w:numId="7">
    <w:abstractNumId w:val="34"/>
  </w:num>
  <w:num w:numId="8">
    <w:abstractNumId w:val="19"/>
  </w:num>
  <w:num w:numId="9">
    <w:abstractNumId w:val="27"/>
  </w:num>
  <w:num w:numId="10">
    <w:abstractNumId w:val="3"/>
  </w:num>
  <w:num w:numId="11">
    <w:abstractNumId w:val="9"/>
  </w:num>
  <w:num w:numId="12">
    <w:abstractNumId w:val="26"/>
  </w:num>
  <w:num w:numId="13">
    <w:abstractNumId w:val="11"/>
  </w:num>
  <w:num w:numId="14">
    <w:abstractNumId w:val="16"/>
  </w:num>
  <w:num w:numId="15">
    <w:abstractNumId w:val="18"/>
  </w:num>
  <w:num w:numId="16">
    <w:abstractNumId w:val="28"/>
  </w:num>
  <w:num w:numId="17">
    <w:abstractNumId w:val="32"/>
  </w:num>
  <w:num w:numId="18">
    <w:abstractNumId w:val="1"/>
  </w:num>
  <w:num w:numId="19">
    <w:abstractNumId w:val="4"/>
  </w:num>
  <w:num w:numId="20">
    <w:abstractNumId w:val="25"/>
  </w:num>
  <w:num w:numId="21">
    <w:abstractNumId w:val="15"/>
  </w:num>
  <w:num w:numId="22">
    <w:abstractNumId w:val="17"/>
  </w:num>
  <w:num w:numId="23">
    <w:abstractNumId w:val="23"/>
  </w:num>
  <w:num w:numId="24">
    <w:abstractNumId w:val="20"/>
  </w:num>
  <w:num w:numId="25">
    <w:abstractNumId w:val="14"/>
  </w:num>
  <w:num w:numId="26">
    <w:abstractNumId w:val="33"/>
  </w:num>
  <w:num w:numId="27">
    <w:abstractNumId w:val="8"/>
  </w:num>
  <w:num w:numId="28">
    <w:abstractNumId w:val="31"/>
  </w:num>
  <w:num w:numId="29">
    <w:abstractNumId w:val="24"/>
  </w:num>
  <w:num w:numId="30">
    <w:abstractNumId w:val="6"/>
  </w:num>
  <w:num w:numId="31">
    <w:abstractNumId w:val="21"/>
  </w:num>
  <w:num w:numId="32">
    <w:abstractNumId w:val="22"/>
  </w:num>
  <w:num w:numId="33">
    <w:abstractNumId w:val="30"/>
  </w:num>
  <w:num w:numId="34">
    <w:abstractNumId w:val="29"/>
  </w:num>
  <w:num w:numId="35">
    <w:abstractNumId w:val="10"/>
  </w:num>
  <w:num w:numId="3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oNotDisplayPageBoundarie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7377"/>
    <w:rsid w:val="00001FDA"/>
    <w:rsid w:val="00010AD5"/>
    <w:rsid w:val="00015895"/>
    <w:rsid w:val="000159A3"/>
    <w:rsid w:val="00016C91"/>
    <w:rsid w:val="00027C22"/>
    <w:rsid w:val="00030C32"/>
    <w:rsid w:val="00030F70"/>
    <w:rsid w:val="00033AB4"/>
    <w:rsid w:val="00035544"/>
    <w:rsid w:val="00036CD9"/>
    <w:rsid w:val="00043BFA"/>
    <w:rsid w:val="0004589F"/>
    <w:rsid w:val="00045CDA"/>
    <w:rsid w:val="00051B99"/>
    <w:rsid w:val="00066211"/>
    <w:rsid w:val="00066D52"/>
    <w:rsid w:val="0007152D"/>
    <w:rsid w:val="000832B2"/>
    <w:rsid w:val="00090F30"/>
    <w:rsid w:val="00092FC7"/>
    <w:rsid w:val="000935E4"/>
    <w:rsid w:val="000954F9"/>
    <w:rsid w:val="000A1C3B"/>
    <w:rsid w:val="000A3623"/>
    <w:rsid w:val="000A3742"/>
    <w:rsid w:val="000B4387"/>
    <w:rsid w:val="000C2AB2"/>
    <w:rsid w:val="000C3241"/>
    <w:rsid w:val="000C5F30"/>
    <w:rsid w:val="000D0F48"/>
    <w:rsid w:val="000D44F3"/>
    <w:rsid w:val="000D7B19"/>
    <w:rsid w:val="000E4677"/>
    <w:rsid w:val="000E7D06"/>
    <w:rsid w:val="000F0E8F"/>
    <w:rsid w:val="000F70D6"/>
    <w:rsid w:val="001001EF"/>
    <w:rsid w:val="001026C3"/>
    <w:rsid w:val="00104F96"/>
    <w:rsid w:val="00105963"/>
    <w:rsid w:val="00107EBD"/>
    <w:rsid w:val="00112BF4"/>
    <w:rsid w:val="001153C1"/>
    <w:rsid w:val="0011607E"/>
    <w:rsid w:val="00116777"/>
    <w:rsid w:val="001215A0"/>
    <w:rsid w:val="00123BDE"/>
    <w:rsid w:val="001241AA"/>
    <w:rsid w:val="00125BD3"/>
    <w:rsid w:val="001324C6"/>
    <w:rsid w:val="00134857"/>
    <w:rsid w:val="0013723F"/>
    <w:rsid w:val="001372D8"/>
    <w:rsid w:val="001402F1"/>
    <w:rsid w:val="001440C3"/>
    <w:rsid w:val="00144A9B"/>
    <w:rsid w:val="001456CE"/>
    <w:rsid w:val="00146787"/>
    <w:rsid w:val="00147AF1"/>
    <w:rsid w:val="0015086A"/>
    <w:rsid w:val="00150F00"/>
    <w:rsid w:val="00152E02"/>
    <w:rsid w:val="001543A8"/>
    <w:rsid w:val="00157ECF"/>
    <w:rsid w:val="0016463F"/>
    <w:rsid w:val="001735CB"/>
    <w:rsid w:val="00180BD3"/>
    <w:rsid w:val="00183B2D"/>
    <w:rsid w:val="00184167"/>
    <w:rsid w:val="0019306E"/>
    <w:rsid w:val="001968DB"/>
    <w:rsid w:val="001974D0"/>
    <w:rsid w:val="001A059E"/>
    <w:rsid w:val="001A0BC6"/>
    <w:rsid w:val="001B148E"/>
    <w:rsid w:val="001B1ED0"/>
    <w:rsid w:val="001B60A9"/>
    <w:rsid w:val="001B6C4D"/>
    <w:rsid w:val="001C3C25"/>
    <w:rsid w:val="001D502E"/>
    <w:rsid w:val="001D7377"/>
    <w:rsid w:val="001E0FE1"/>
    <w:rsid w:val="001E7A26"/>
    <w:rsid w:val="001F0EBA"/>
    <w:rsid w:val="00206D78"/>
    <w:rsid w:val="00206DA2"/>
    <w:rsid w:val="0020778E"/>
    <w:rsid w:val="00207CDD"/>
    <w:rsid w:val="00211B7F"/>
    <w:rsid w:val="00215D87"/>
    <w:rsid w:val="00221100"/>
    <w:rsid w:val="002215F1"/>
    <w:rsid w:val="0022189F"/>
    <w:rsid w:val="00223388"/>
    <w:rsid w:val="00224D3B"/>
    <w:rsid w:val="00225AA6"/>
    <w:rsid w:val="0023027D"/>
    <w:rsid w:val="002329AE"/>
    <w:rsid w:val="00235F95"/>
    <w:rsid w:val="00236601"/>
    <w:rsid w:val="00243337"/>
    <w:rsid w:val="00245D97"/>
    <w:rsid w:val="00247ECD"/>
    <w:rsid w:val="00250A2F"/>
    <w:rsid w:val="00250CF1"/>
    <w:rsid w:val="00250D87"/>
    <w:rsid w:val="00253CE0"/>
    <w:rsid w:val="0025521A"/>
    <w:rsid w:val="002639F5"/>
    <w:rsid w:val="00264F59"/>
    <w:rsid w:val="0026628D"/>
    <w:rsid w:val="002665E9"/>
    <w:rsid w:val="00270E7D"/>
    <w:rsid w:val="00273449"/>
    <w:rsid w:val="00273B90"/>
    <w:rsid w:val="00280D6A"/>
    <w:rsid w:val="00282243"/>
    <w:rsid w:val="002947BA"/>
    <w:rsid w:val="00294E72"/>
    <w:rsid w:val="002A443F"/>
    <w:rsid w:val="002B113B"/>
    <w:rsid w:val="002B26F8"/>
    <w:rsid w:val="002B6ADF"/>
    <w:rsid w:val="002C49F0"/>
    <w:rsid w:val="002D0E77"/>
    <w:rsid w:val="002D1D49"/>
    <w:rsid w:val="002D566F"/>
    <w:rsid w:val="002D6FB7"/>
    <w:rsid w:val="002E37DE"/>
    <w:rsid w:val="002F1B33"/>
    <w:rsid w:val="002F3FC4"/>
    <w:rsid w:val="00301F11"/>
    <w:rsid w:val="00303721"/>
    <w:rsid w:val="00304012"/>
    <w:rsid w:val="00305BD0"/>
    <w:rsid w:val="0031220B"/>
    <w:rsid w:val="00312297"/>
    <w:rsid w:val="00316619"/>
    <w:rsid w:val="00320BD0"/>
    <w:rsid w:val="00323D1C"/>
    <w:rsid w:val="003246F3"/>
    <w:rsid w:val="003266DD"/>
    <w:rsid w:val="00331DD7"/>
    <w:rsid w:val="00332CC0"/>
    <w:rsid w:val="003336FC"/>
    <w:rsid w:val="003346E4"/>
    <w:rsid w:val="00337899"/>
    <w:rsid w:val="00340D03"/>
    <w:rsid w:val="0034274F"/>
    <w:rsid w:val="003547D5"/>
    <w:rsid w:val="003572C1"/>
    <w:rsid w:val="00363E20"/>
    <w:rsid w:val="0036606A"/>
    <w:rsid w:val="0037404F"/>
    <w:rsid w:val="00375AB6"/>
    <w:rsid w:val="00376A4C"/>
    <w:rsid w:val="003778D9"/>
    <w:rsid w:val="00382B8E"/>
    <w:rsid w:val="00387A55"/>
    <w:rsid w:val="00390188"/>
    <w:rsid w:val="00393F89"/>
    <w:rsid w:val="0039473D"/>
    <w:rsid w:val="00395A22"/>
    <w:rsid w:val="003A157A"/>
    <w:rsid w:val="003A17F8"/>
    <w:rsid w:val="003A1BE3"/>
    <w:rsid w:val="003A1CDB"/>
    <w:rsid w:val="003A3C47"/>
    <w:rsid w:val="003A6195"/>
    <w:rsid w:val="003A78B4"/>
    <w:rsid w:val="003B28E2"/>
    <w:rsid w:val="003B4545"/>
    <w:rsid w:val="003B5826"/>
    <w:rsid w:val="003B5C49"/>
    <w:rsid w:val="003C04C9"/>
    <w:rsid w:val="003C0E79"/>
    <w:rsid w:val="003D41DA"/>
    <w:rsid w:val="003D53F0"/>
    <w:rsid w:val="003D6E67"/>
    <w:rsid w:val="003D7039"/>
    <w:rsid w:val="003E3239"/>
    <w:rsid w:val="003E3522"/>
    <w:rsid w:val="003E7DEE"/>
    <w:rsid w:val="003F18D4"/>
    <w:rsid w:val="003F1A54"/>
    <w:rsid w:val="003F6824"/>
    <w:rsid w:val="003F68FF"/>
    <w:rsid w:val="00401CA4"/>
    <w:rsid w:val="00404B2F"/>
    <w:rsid w:val="00404E7A"/>
    <w:rsid w:val="00411B51"/>
    <w:rsid w:val="0041562C"/>
    <w:rsid w:val="00416848"/>
    <w:rsid w:val="0041687B"/>
    <w:rsid w:val="00417010"/>
    <w:rsid w:val="0041753A"/>
    <w:rsid w:val="00420203"/>
    <w:rsid w:val="00420CB9"/>
    <w:rsid w:val="00422C37"/>
    <w:rsid w:val="004340D2"/>
    <w:rsid w:val="00434EBF"/>
    <w:rsid w:val="004377F0"/>
    <w:rsid w:val="0044468E"/>
    <w:rsid w:val="004457B1"/>
    <w:rsid w:val="00451BA0"/>
    <w:rsid w:val="00462337"/>
    <w:rsid w:val="00464EBF"/>
    <w:rsid w:val="00470821"/>
    <w:rsid w:val="00477A4A"/>
    <w:rsid w:val="00484322"/>
    <w:rsid w:val="00491CAF"/>
    <w:rsid w:val="00492AF8"/>
    <w:rsid w:val="004934E6"/>
    <w:rsid w:val="004A5460"/>
    <w:rsid w:val="004A6EA1"/>
    <w:rsid w:val="004A7A57"/>
    <w:rsid w:val="004B1914"/>
    <w:rsid w:val="004B53E3"/>
    <w:rsid w:val="004B761C"/>
    <w:rsid w:val="004C01AE"/>
    <w:rsid w:val="004C157C"/>
    <w:rsid w:val="004C5E1C"/>
    <w:rsid w:val="004C6E15"/>
    <w:rsid w:val="004D23C9"/>
    <w:rsid w:val="004D2D73"/>
    <w:rsid w:val="004D4847"/>
    <w:rsid w:val="004E24E6"/>
    <w:rsid w:val="004E2B12"/>
    <w:rsid w:val="004F14EC"/>
    <w:rsid w:val="005005DC"/>
    <w:rsid w:val="00502F81"/>
    <w:rsid w:val="00507616"/>
    <w:rsid w:val="00512C66"/>
    <w:rsid w:val="005132EB"/>
    <w:rsid w:val="00520D3A"/>
    <w:rsid w:val="00526E57"/>
    <w:rsid w:val="00530A7F"/>
    <w:rsid w:val="00534474"/>
    <w:rsid w:val="00542900"/>
    <w:rsid w:val="00546C64"/>
    <w:rsid w:val="0055425E"/>
    <w:rsid w:val="00554916"/>
    <w:rsid w:val="00557E3C"/>
    <w:rsid w:val="00566D2E"/>
    <w:rsid w:val="005672AD"/>
    <w:rsid w:val="0056776F"/>
    <w:rsid w:val="00572547"/>
    <w:rsid w:val="00576219"/>
    <w:rsid w:val="0058635D"/>
    <w:rsid w:val="00591605"/>
    <w:rsid w:val="00594E1F"/>
    <w:rsid w:val="005A13B6"/>
    <w:rsid w:val="005B4A31"/>
    <w:rsid w:val="005C17F4"/>
    <w:rsid w:val="005C1BF7"/>
    <w:rsid w:val="005C5F6F"/>
    <w:rsid w:val="005D4158"/>
    <w:rsid w:val="005D693B"/>
    <w:rsid w:val="005E617B"/>
    <w:rsid w:val="005F2BEE"/>
    <w:rsid w:val="005F352C"/>
    <w:rsid w:val="005F49BE"/>
    <w:rsid w:val="006126DD"/>
    <w:rsid w:val="0061677A"/>
    <w:rsid w:val="00620B9B"/>
    <w:rsid w:val="00624938"/>
    <w:rsid w:val="0062730F"/>
    <w:rsid w:val="0062773D"/>
    <w:rsid w:val="00633588"/>
    <w:rsid w:val="00637208"/>
    <w:rsid w:val="00640FCE"/>
    <w:rsid w:val="00641160"/>
    <w:rsid w:val="00644658"/>
    <w:rsid w:val="00647991"/>
    <w:rsid w:val="00647AC9"/>
    <w:rsid w:val="00652B6D"/>
    <w:rsid w:val="00653B6D"/>
    <w:rsid w:val="00655A41"/>
    <w:rsid w:val="00655B30"/>
    <w:rsid w:val="0065608D"/>
    <w:rsid w:val="0066172B"/>
    <w:rsid w:val="006625D4"/>
    <w:rsid w:val="00662774"/>
    <w:rsid w:val="0067232E"/>
    <w:rsid w:val="00676C08"/>
    <w:rsid w:val="006774EA"/>
    <w:rsid w:val="00682E8A"/>
    <w:rsid w:val="00683F52"/>
    <w:rsid w:val="00684402"/>
    <w:rsid w:val="00690ECB"/>
    <w:rsid w:val="00692A94"/>
    <w:rsid w:val="00697CB2"/>
    <w:rsid w:val="006B13A0"/>
    <w:rsid w:val="006D06BF"/>
    <w:rsid w:val="006D4F51"/>
    <w:rsid w:val="006D71C6"/>
    <w:rsid w:val="006E3876"/>
    <w:rsid w:val="006E5D2D"/>
    <w:rsid w:val="006F1DB7"/>
    <w:rsid w:val="00701AC6"/>
    <w:rsid w:val="00701D4D"/>
    <w:rsid w:val="007038C7"/>
    <w:rsid w:val="0071017C"/>
    <w:rsid w:val="007133C3"/>
    <w:rsid w:val="007150AB"/>
    <w:rsid w:val="00721AED"/>
    <w:rsid w:val="007220D3"/>
    <w:rsid w:val="007224EE"/>
    <w:rsid w:val="00724A2A"/>
    <w:rsid w:val="00726A03"/>
    <w:rsid w:val="007314F6"/>
    <w:rsid w:val="007363D1"/>
    <w:rsid w:val="00737AE7"/>
    <w:rsid w:val="00744101"/>
    <w:rsid w:val="007450E7"/>
    <w:rsid w:val="007523CE"/>
    <w:rsid w:val="00756B03"/>
    <w:rsid w:val="007609D8"/>
    <w:rsid w:val="0076148F"/>
    <w:rsid w:val="00761948"/>
    <w:rsid w:val="0076369B"/>
    <w:rsid w:val="0076536B"/>
    <w:rsid w:val="00765500"/>
    <w:rsid w:val="00767F04"/>
    <w:rsid w:val="007712A1"/>
    <w:rsid w:val="0077540B"/>
    <w:rsid w:val="00775CDB"/>
    <w:rsid w:val="00780F90"/>
    <w:rsid w:val="007842E3"/>
    <w:rsid w:val="00785FC0"/>
    <w:rsid w:val="00787355"/>
    <w:rsid w:val="00787DC9"/>
    <w:rsid w:val="007933F1"/>
    <w:rsid w:val="00794BEE"/>
    <w:rsid w:val="00795D96"/>
    <w:rsid w:val="007A4702"/>
    <w:rsid w:val="007A5A73"/>
    <w:rsid w:val="007B0698"/>
    <w:rsid w:val="007B1EF8"/>
    <w:rsid w:val="007B3085"/>
    <w:rsid w:val="007B3DE9"/>
    <w:rsid w:val="007B4487"/>
    <w:rsid w:val="007B4F78"/>
    <w:rsid w:val="007B6396"/>
    <w:rsid w:val="007B6A8C"/>
    <w:rsid w:val="007B6F7A"/>
    <w:rsid w:val="007B777E"/>
    <w:rsid w:val="007C3145"/>
    <w:rsid w:val="007C3B30"/>
    <w:rsid w:val="007D025A"/>
    <w:rsid w:val="007D37A6"/>
    <w:rsid w:val="007D4364"/>
    <w:rsid w:val="007D4EF8"/>
    <w:rsid w:val="007E1361"/>
    <w:rsid w:val="007E3019"/>
    <w:rsid w:val="007E31D6"/>
    <w:rsid w:val="007E403A"/>
    <w:rsid w:val="007E466A"/>
    <w:rsid w:val="007E5AFA"/>
    <w:rsid w:val="007E67DA"/>
    <w:rsid w:val="007F08CC"/>
    <w:rsid w:val="007F1518"/>
    <w:rsid w:val="007F622A"/>
    <w:rsid w:val="00805CD7"/>
    <w:rsid w:val="00811A50"/>
    <w:rsid w:val="008169EA"/>
    <w:rsid w:val="00816FB9"/>
    <w:rsid w:val="00817943"/>
    <w:rsid w:val="008236D0"/>
    <w:rsid w:val="008255CA"/>
    <w:rsid w:val="00825EC8"/>
    <w:rsid w:val="008307E3"/>
    <w:rsid w:val="00832D6D"/>
    <w:rsid w:val="00835340"/>
    <w:rsid w:val="00841D9F"/>
    <w:rsid w:val="00842CAE"/>
    <w:rsid w:val="00846200"/>
    <w:rsid w:val="00847215"/>
    <w:rsid w:val="0085091F"/>
    <w:rsid w:val="00853B77"/>
    <w:rsid w:val="0086141D"/>
    <w:rsid w:val="008645B9"/>
    <w:rsid w:val="00872C91"/>
    <w:rsid w:val="0088025E"/>
    <w:rsid w:val="0088342F"/>
    <w:rsid w:val="008866D5"/>
    <w:rsid w:val="00886C69"/>
    <w:rsid w:val="00896357"/>
    <w:rsid w:val="00896ED9"/>
    <w:rsid w:val="008A0593"/>
    <w:rsid w:val="008A1B5D"/>
    <w:rsid w:val="008A5CC4"/>
    <w:rsid w:val="008A7C64"/>
    <w:rsid w:val="008B2785"/>
    <w:rsid w:val="008B3683"/>
    <w:rsid w:val="008B4956"/>
    <w:rsid w:val="008C7323"/>
    <w:rsid w:val="008D04DC"/>
    <w:rsid w:val="008D098B"/>
    <w:rsid w:val="008D2A8E"/>
    <w:rsid w:val="008D5128"/>
    <w:rsid w:val="008E1849"/>
    <w:rsid w:val="008E4630"/>
    <w:rsid w:val="008E4A25"/>
    <w:rsid w:val="008E5AEC"/>
    <w:rsid w:val="008F1068"/>
    <w:rsid w:val="009031D6"/>
    <w:rsid w:val="009060A4"/>
    <w:rsid w:val="00906F42"/>
    <w:rsid w:val="00907FBE"/>
    <w:rsid w:val="00913445"/>
    <w:rsid w:val="009153CC"/>
    <w:rsid w:val="0092002C"/>
    <w:rsid w:val="00920EB9"/>
    <w:rsid w:val="00922FFE"/>
    <w:rsid w:val="0093256C"/>
    <w:rsid w:val="00932A0E"/>
    <w:rsid w:val="00932E94"/>
    <w:rsid w:val="00935907"/>
    <w:rsid w:val="00940F70"/>
    <w:rsid w:val="00952338"/>
    <w:rsid w:val="0095273F"/>
    <w:rsid w:val="009535EE"/>
    <w:rsid w:val="00956E72"/>
    <w:rsid w:val="00957370"/>
    <w:rsid w:val="00961690"/>
    <w:rsid w:val="0097289C"/>
    <w:rsid w:val="009739C0"/>
    <w:rsid w:val="00982817"/>
    <w:rsid w:val="009867D6"/>
    <w:rsid w:val="00986E49"/>
    <w:rsid w:val="00990685"/>
    <w:rsid w:val="00990A43"/>
    <w:rsid w:val="009A0E1B"/>
    <w:rsid w:val="009A3908"/>
    <w:rsid w:val="009A5C07"/>
    <w:rsid w:val="009B34F4"/>
    <w:rsid w:val="009B3CC5"/>
    <w:rsid w:val="009B6715"/>
    <w:rsid w:val="009C4798"/>
    <w:rsid w:val="009C7667"/>
    <w:rsid w:val="009C7C90"/>
    <w:rsid w:val="009E3171"/>
    <w:rsid w:val="009E6668"/>
    <w:rsid w:val="009E7909"/>
    <w:rsid w:val="009F4239"/>
    <w:rsid w:val="009F6A8B"/>
    <w:rsid w:val="00A03B18"/>
    <w:rsid w:val="00A03DF3"/>
    <w:rsid w:val="00A126DF"/>
    <w:rsid w:val="00A17E1C"/>
    <w:rsid w:val="00A22287"/>
    <w:rsid w:val="00A24FFD"/>
    <w:rsid w:val="00A27BFE"/>
    <w:rsid w:val="00A35A20"/>
    <w:rsid w:val="00A36F7A"/>
    <w:rsid w:val="00A40933"/>
    <w:rsid w:val="00A42970"/>
    <w:rsid w:val="00A442F2"/>
    <w:rsid w:val="00A45CAD"/>
    <w:rsid w:val="00A462B3"/>
    <w:rsid w:val="00A46AA0"/>
    <w:rsid w:val="00A57130"/>
    <w:rsid w:val="00A62AF6"/>
    <w:rsid w:val="00A62EBB"/>
    <w:rsid w:val="00A63D5B"/>
    <w:rsid w:val="00A63F79"/>
    <w:rsid w:val="00A65BAB"/>
    <w:rsid w:val="00A706A9"/>
    <w:rsid w:val="00A75D64"/>
    <w:rsid w:val="00A77589"/>
    <w:rsid w:val="00A7768F"/>
    <w:rsid w:val="00A96350"/>
    <w:rsid w:val="00AA02EB"/>
    <w:rsid w:val="00AA5ED1"/>
    <w:rsid w:val="00AA7889"/>
    <w:rsid w:val="00AB2709"/>
    <w:rsid w:val="00AD476B"/>
    <w:rsid w:val="00AE1C31"/>
    <w:rsid w:val="00AE2549"/>
    <w:rsid w:val="00AE5E33"/>
    <w:rsid w:val="00AE6679"/>
    <w:rsid w:val="00AE7311"/>
    <w:rsid w:val="00AF2C72"/>
    <w:rsid w:val="00AF4E20"/>
    <w:rsid w:val="00B0220C"/>
    <w:rsid w:val="00B10448"/>
    <w:rsid w:val="00B1573B"/>
    <w:rsid w:val="00B15EE5"/>
    <w:rsid w:val="00B161CA"/>
    <w:rsid w:val="00B208AD"/>
    <w:rsid w:val="00B21435"/>
    <w:rsid w:val="00B25548"/>
    <w:rsid w:val="00B2760E"/>
    <w:rsid w:val="00B27AF1"/>
    <w:rsid w:val="00B342FC"/>
    <w:rsid w:val="00B34E93"/>
    <w:rsid w:val="00B35115"/>
    <w:rsid w:val="00B35D09"/>
    <w:rsid w:val="00B4399E"/>
    <w:rsid w:val="00B43D45"/>
    <w:rsid w:val="00B50BAC"/>
    <w:rsid w:val="00B52CA9"/>
    <w:rsid w:val="00B54124"/>
    <w:rsid w:val="00B56C15"/>
    <w:rsid w:val="00B625A0"/>
    <w:rsid w:val="00B635F9"/>
    <w:rsid w:val="00B64959"/>
    <w:rsid w:val="00B7005D"/>
    <w:rsid w:val="00B70845"/>
    <w:rsid w:val="00B71769"/>
    <w:rsid w:val="00B75BAE"/>
    <w:rsid w:val="00B8083F"/>
    <w:rsid w:val="00B86C48"/>
    <w:rsid w:val="00B86DDF"/>
    <w:rsid w:val="00B940DF"/>
    <w:rsid w:val="00BA6439"/>
    <w:rsid w:val="00BB7132"/>
    <w:rsid w:val="00BC2552"/>
    <w:rsid w:val="00BC622B"/>
    <w:rsid w:val="00BC6517"/>
    <w:rsid w:val="00BC66E7"/>
    <w:rsid w:val="00BC7F02"/>
    <w:rsid w:val="00BD2690"/>
    <w:rsid w:val="00BE119E"/>
    <w:rsid w:val="00BE2BF0"/>
    <w:rsid w:val="00BE4FED"/>
    <w:rsid w:val="00BF3706"/>
    <w:rsid w:val="00C03938"/>
    <w:rsid w:val="00C03AC6"/>
    <w:rsid w:val="00C13C76"/>
    <w:rsid w:val="00C15431"/>
    <w:rsid w:val="00C20564"/>
    <w:rsid w:val="00C22111"/>
    <w:rsid w:val="00C23C35"/>
    <w:rsid w:val="00C24250"/>
    <w:rsid w:val="00C2535E"/>
    <w:rsid w:val="00C30AC5"/>
    <w:rsid w:val="00C31268"/>
    <w:rsid w:val="00C3611F"/>
    <w:rsid w:val="00C366CB"/>
    <w:rsid w:val="00C414EE"/>
    <w:rsid w:val="00C50D06"/>
    <w:rsid w:val="00C50F1D"/>
    <w:rsid w:val="00C532A5"/>
    <w:rsid w:val="00C542D0"/>
    <w:rsid w:val="00C63851"/>
    <w:rsid w:val="00C63E31"/>
    <w:rsid w:val="00C66201"/>
    <w:rsid w:val="00C74074"/>
    <w:rsid w:val="00C76A03"/>
    <w:rsid w:val="00C7787C"/>
    <w:rsid w:val="00C8028F"/>
    <w:rsid w:val="00C815AD"/>
    <w:rsid w:val="00C85E94"/>
    <w:rsid w:val="00C871CD"/>
    <w:rsid w:val="00C90121"/>
    <w:rsid w:val="00C92614"/>
    <w:rsid w:val="00C939F2"/>
    <w:rsid w:val="00CA6F59"/>
    <w:rsid w:val="00CB03E0"/>
    <w:rsid w:val="00CB23CE"/>
    <w:rsid w:val="00CB2E0F"/>
    <w:rsid w:val="00CB5708"/>
    <w:rsid w:val="00CB5975"/>
    <w:rsid w:val="00CB5E6A"/>
    <w:rsid w:val="00CB6157"/>
    <w:rsid w:val="00CC064F"/>
    <w:rsid w:val="00CC08B7"/>
    <w:rsid w:val="00CC2B86"/>
    <w:rsid w:val="00CC43DA"/>
    <w:rsid w:val="00CC4B9E"/>
    <w:rsid w:val="00CD2E61"/>
    <w:rsid w:val="00CD4BDE"/>
    <w:rsid w:val="00CD7E91"/>
    <w:rsid w:val="00CE0576"/>
    <w:rsid w:val="00CE5D77"/>
    <w:rsid w:val="00CF1C52"/>
    <w:rsid w:val="00CF2D90"/>
    <w:rsid w:val="00CF3E9E"/>
    <w:rsid w:val="00CF51E5"/>
    <w:rsid w:val="00D01615"/>
    <w:rsid w:val="00D07A78"/>
    <w:rsid w:val="00D1087A"/>
    <w:rsid w:val="00D11AD9"/>
    <w:rsid w:val="00D11E75"/>
    <w:rsid w:val="00D25618"/>
    <w:rsid w:val="00D2655C"/>
    <w:rsid w:val="00D319AA"/>
    <w:rsid w:val="00D32790"/>
    <w:rsid w:val="00D42A35"/>
    <w:rsid w:val="00D42EA8"/>
    <w:rsid w:val="00D43FA6"/>
    <w:rsid w:val="00D44176"/>
    <w:rsid w:val="00D45806"/>
    <w:rsid w:val="00D50179"/>
    <w:rsid w:val="00D52BF3"/>
    <w:rsid w:val="00D53550"/>
    <w:rsid w:val="00D53C2F"/>
    <w:rsid w:val="00D56CE1"/>
    <w:rsid w:val="00D6196D"/>
    <w:rsid w:val="00D62193"/>
    <w:rsid w:val="00D679A2"/>
    <w:rsid w:val="00D70BDF"/>
    <w:rsid w:val="00D757D5"/>
    <w:rsid w:val="00D844CD"/>
    <w:rsid w:val="00D86C0A"/>
    <w:rsid w:val="00D86CDE"/>
    <w:rsid w:val="00D923F2"/>
    <w:rsid w:val="00DA1B9A"/>
    <w:rsid w:val="00DA60BB"/>
    <w:rsid w:val="00DA7B6D"/>
    <w:rsid w:val="00DB32D0"/>
    <w:rsid w:val="00DB7753"/>
    <w:rsid w:val="00DC69F1"/>
    <w:rsid w:val="00DE093B"/>
    <w:rsid w:val="00DE4BE7"/>
    <w:rsid w:val="00DE5572"/>
    <w:rsid w:val="00DE796D"/>
    <w:rsid w:val="00E030D4"/>
    <w:rsid w:val="00E07DBF"/>
    <w:rsid w:val="00E116C9"/>
    <w:rsid w:val="00E15D40"/>
    <w:rsid w:val="00E16740"/>
    <w:rsid w:val="00E228F6"/>
    <w:rsid w:val="00E23345"/>
    <w:rsid w:val="00E278E8"/>
    <w:rsid w:val="00E332EB"/>
    <w:rsid w:val="00E42515"/>
    <w:rsid w:val="00E44770"/>
    <w:rsid w:val="00E513A1"/>
    <w:rsid w:val="00E522FE"/>
    <w:rsid w:val="00E57FF6"/>
    <w:rsid w:val="00E6533C"/>
    <w:rsid w:val="00E6667E"/>
    <w:rsid w:val="00E72CE0"/>
    <w:rsid w:val="00E77AC4"/>
    <w:rsid w:val="00E80422"/>
    <w:rsid w:val="00E8069D"/>
    <w:rsid w:val="00E82924"/>
    <w:rsid w:val="00E9695C"/>
    <w:rsid w:val="00E9755B"/>
    <w:rsid w:val="00EB3933"/>
    <w:rsid w:val="00EB3C1A"/>
    <w:rsid w:val="00EB3E74"/>
    <w:rsid w:val="00EB6F52"/>
    <w:rsid w:val="00EC4E5C"/>
    <w:rsid w:val="00ED0713"/>
    <w:rsid w:val="00ED0E87"/>
    <w:rsid w:val="00ED7BDC"/>
    <w:rsid w:val="00ED7F87"/>
    <w:rsid w:val="00EE3605"/>
    <w:rsid w:val="00EE69AF"/>
    <w:rsid w:val="00EE6EFD"/>
    <w:rsid w:val="00EE70BB"/>
    <w:rsid w:val="00EF1A68"/>
    <w:rsid w:val="00EF3B5D"/>
    <w:rsid w:val="00EF4AB2"/>
    <w:rsid w:val="00EF6701"/>
    <w:rsid w:val="00F032FE"/>
    <w:rsid w:val="00F03394"/>
    <w:rsid w:val="00F120E1"/>
    <w:rsid w:val="00F13661"/>
    <w:rsid w:val="00F15B55"/>
    <w:rsid w:val="00F176BB"/>
    <w:rsid w:val="00F249A4"/>
    <w:rsid w:val="00F307ED"/>
    <w:rsid w:val="00F31548"/>
    <w:rsid w:val="00F33E4A"/>
    <w:rsid w:val="00F35B9A"/>
    <w:rsid w:val="00F35C83"/>
    <w:rsid w:val="00F42D8E"/>
    <w:rsid w:val="00F46DA6"/>
    <w:rsid w:val="00F51112"/>
    <w:rsid w:val="00F558E7"/>
    <w:rsid w:val="00F670FA"/>
    <w:rsid w:val="00F67A74"/>
    <w:rsid w:val="00F71D1D"/>
    <w:rsid w:val="00F8398C"/>
    <w:rsid w:val="00F92065"/>
    <w:rsid w:val="00F93A5B"/>
    <w:rsid w:val="00F93AB4"/>
    <w:rsid w:val="00F93C84"/>
    <w:rsid w:val="00FB10A8"/>
    <w:rsid w:val="00FB1B76"/>
    <w:rsid w:val="00FB1D13"/>
    <w:rsid w:val="00FB3296"/>
    <w:rsid w:val="00FB3504"/>
    <w:rsid w:val="00FB5080"/>
    <w:rsid w:val="00FC3430"/>
    <w:rsid w:val="00FC5AE2"/>
    <w:rsid w:val="00FD5CB6"/>
    <w:rsid w:val="00FD6E38"/>
    <w:rsid w:val="00FE5061"/>
    <w:rsid w:val="00FF61A1"/>
    <w:rsid w:val="00FF7F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23CFDC"/>
  <w15:chartTrackingRefBased/>
  <w15:docId w15:val="{37C375C8-432C-4475-9F5A-8E8D20C01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D11AD9"/>
    <w:pPr>
      <w:overflowPunct w:val="0"/>
      <w:autoSpaceDE w:val="0"/>
      <w:autoSpaceDN w:val="0"/>
      <w:adjustRightInd w:val="0"/>
      <w:spacing w:after="180" w:line="240" w:lineRule="auto"/>
      <w:textAlignment w:val="baseline"/>
    </w:pPr>
    <w:rPr>
      <w:rFonts w:eastAsia="SimSun" w:cs="Times New Roman"/>
      <w:szCs w:val="20"/>
    </w:rPr>
  </w:style>
  <w:style w:type="paragraph" w:styleId="Heading1">
    <w:name w:val="heading 1"/>
    <w:next w:val="Normal"/>
    <w:link w:val="Heading1Char1"/>
    <w:qFormat/>
    <w:rsid w:val="001D7377"/>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1D7377"/>
    <w:pPr>
      <w:numPr>
        <w:ilvl w:val="1"/>
      </w:numPr>
      <w:pBdr>
        <w:top w:val="none" w:sz="0" w:space="0" w:color="auto"/>
      </w:pBdr>
      <w:tabs>
        <w:tab w:val="num" w:pos="360"/>
      </w:tabs>
      <w:spacing w:before="180"/>
      <w:outlineLvl w:val="1"/>
    </w:pPr>
    <w:rPr>
      <w:sz w:val="32"/>
    </w:rPr>
  </w:style>
  <w:style w:type="paragraph" w:styleId="Heading3">
    <w:name w:val="heading 3"/>
    <w:basedOn w:val="Heading2"/>
    <w:next w:val="Normal"/>
    <w:link w:val="Heading3Char"/>
    <w:qFormat/>
    <w:rsid w:val="001D7377"/>
    <w:pPr>
      <w:numPr>
        <w:ilvl w:val="2"/>
      </w:numPr>
      <w:tabs>
        <w:tab w:val="num" w:pos="360"/>
      </w:tabs>
      <w:spacing w:before="120"/>
      <w:outlineLvl w:val="2"/>
    </w:pPr>
    <w:rPr>
      <w:sz w:val="28"/>
    </w:rPr>
  </w:style>
  <w:style w:type="paragraph" w:styleId="Heading4">
    <w:name w:val="heading 4"/>
    <w:aliases w:val="h4"/>
    <w:basedOn w:val="Heading3"/>
    <w:next w:val="Normal"/>
    <w:link w:val="Heading4Char"/>
    <w:qFormat/>
    <w:rsid w:val="001D7377"/>
    <w:pPr>
      <w:numPr>
        <w:ilvl w:val="3"/>
      </w:numPr>
      <w:tabs>
        <w:tab w:val="num" w:pos="360"/>
      </w:tabs>
      <w:outlineLvl w:val="3"/>
    </w:pPr>
    <w:rPr>
      <w:sz w:val="24"/>
    </w:rPr>
  </w:style>
  <w:style w:type="paragraph" w:styleId="Heading5">
    <w:name w:val="heading 5"/>
    <w:basedOn w:val="Heading4"/>
    <w:next w:val="Normal"/>
    <w:link w:val="Heading5Char"/>
    <w:qFormat/>
    <w:rsid w:val="001D7377"/>
    <w:pPr>
      <w:numPr>
        <w:ilvl w:val="4"/>
      </w:numPr>
      <w:tabs>
        <w:tab w:val="num" w:pos="360"/>
      </w:tabs>
      <w:outlineLvl w:val="4"/>
    </w:pPr>
    <w:rPr>
      <w:sz w:val="22"/>
    </w:rPr>
  </w:style>
  <w:style w:type="paragraph" w:styleId="Heading6">
    <w:name w:val="heading 6"/>
    <w:basedOn w:val="Normal"/>
    <w:next w:val="Normal"/>
    <w:link w:val="Heading6Char"/>
    <w:qFormat/>
    <w:rsid w:val="001D7377"/>
    <w:pPr>
      <w:keepNext/>
      <w:keepLines/>
      <w:numPr>
        <w:ilvl w:val="5"/>
        <w:numId w:val="2"/>
      </w:numPr>
      <w:spacing w:before="120"/>
      <w:outlineLvl w:val="5"/>
    </w:pPr>
    <w:rPr>
      <w:rFonts w:ascii="Arial" w:hAnsi="Arial"/>
      <w:lang w:val="en-GB"/>
    </w:rPr>
  </w:style>
  <w:style w:type="paragraph" w:styleId="Heading7">
    <w:name w:val="heading 7"/>
    <w:basedOn w:val="Normal"/>
    <w:next w:val="Normal"/>
    <w:link w:val="Heading7Char"/>
    <w:qFormat/>
    <w:rsid w:val="001D7377"/>
    <w:pPr>
      <w:keepNext/>
      <w:keepLines/>
      <w:numPr>
        <w:ilvl w:val="6"/>
        <w:numId w:val="2"/>
      </w:numPr>
      <w:spacing w:before="120"/>
      <w:outlineLvl w:val="6"/>
    </w:pPr>
    <w:rPr>
      <w:rFonts w:ascii="Arial" w:hAnsi="Arial"/>
      <w:lang w:val="en-GB"/>
    </w:rPr>
  </w:style>
  <w:style w:type="paragraph" w:styleId="Heading8">
    <w:name w:val="heading 8"/>
    <w:basedOn w:val="Heading1"/>
    <w:next w:val="Normal"/>
    <w:link w:val="Heading8Char"/>
    <w:qFormat/>
    <w:rsid w:val="001D7377"/>
    <w:pPr>
      <w:numPr>
        <w:ilvl w:val="7"/>
      </w:numPr>
      <w:tabs>
        <w:tab w:val="num" w:pos="360"/>
      </w:tabs>
      <w:outlineLvl w:val="7"/>
    </w:pPr>
  </w:style>
  <w:style w:type="paragraph" w:styleId="Heading9">
    <w:name w:val="heading 9"/>
    <w:basedOn w:val="Heading8"/>
    <w:next w:val="Normal"/>
    <w:link w:val="Heading9Char"/>
    <w:qFormat/>
    <w:rsid w:val="001D7377"/>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7377"/>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1D7377"/>
    <w:rPr>
      <w:rFonts w:ascii="Arial" w:eastAsia="SimSun" w:hAnsi="Arial" w:cs="Times New Roman"/>
      <w:sz w:val="32"/>
      <w:szCs w:val="20"/>
      <w:lang w:val="en-GB"/>
    </w:rPr>
  </w:style>
  <w:style w:type="character" w:customStyle="1" w:styleId="Heading3Char">
    <w:name w:val="Heading 3 Char"/>
    <w:basedOn w:val="DefaultParagraphFont"/>
    <w:link w:val="Heading3"/>
    <w:rsid w:val="001D7377"/>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1D7377"/>
    <w:rPr>
      <w:rFonts w:ascii="Arial" w:eastAsia="SimSun" w:hAnsi="Arial" w:cs="Times New Roman"/>
      <w:sz w:val="24"/>
      <w:szCs w:val="20"/>
      <w:lang w:val="en-GB"/>
    </w:rPr>
  </w:style>
  <w:style w:type="character" w:customStyle="1" w:styleId="Heading5Char">
    <w:name w:val="Heading 5 Char"/>
    <w:basedOn w:val="DefaultParagraphFont"/>
    <w:link w:val="Heading5"/>
    <w:rsid w:val="001D7377"/>
    <w:rPr>
      <w:rFonts w:ascii="Arial" w:eastAsia="SimSun" w:hAnsi="Arial" w:cs="Times New Roman"/>
      <w:szCs w:val="20"/>
      <w:lang w:val="en-GB"/>
    </w:rPr>
  </w:style>
  <w:style w:type="character" w:customStyle="1" w:styleId="Heading6Char">
    <w:name w:val="Heading 6 Char"/>
    <w:basedOn w:val="DefaultParagraphFont"/>
    <w:link w:val="Heading6"/>
    <w:rsid w:val="001D7377"/>
    <w:rPr>
      <w:rFonts w:ascii="Arial" w:eastAsia="SimSun" w:hAnsi="Arial" w:cs="Times New Roman"/>
      <w:sz w:val="20"/>
      <w:szCs w:val="20"/>
      <w:lang w:val="en-GB"/>
    </w:rPr>
  </w:style>
  <w:style w:type="character" w:customStyle="1" w:styleId="Heading7Char">
    <w:name w:val="Heading 7 Char"/>
    <w:basedOn w:val="DefaultParagraphFont"/>
    <w:link w:val="Heading7"/>
    <w:rsid w:val="001D7377"/>
    <w:rPr>
      <w:rFonts w:ascii="Arial" w:eastAsia="SimSun" w:hAnsi="Arial" w:cs="Times New Roman"/>
      <w:sz w:val="20"/>
      <w:szCs w:val="20"/>
      <w:lang w:val="en-GB"/>
    </w:rPr>
  </w:style>
  <w:style w:type="character" w:customStyle="1" w:styleId="Heading8Char">
    <w:name w:val="Heading 8 Char"/>
    <w:basedOn w:val="DefaultParagraphFont"/>
    <w:link w:val="Heading8"/>
    <w:rsid w:val="001D7377"/>
    <w:rPr>
      <w:rFonts w:ascii="Arial" w:eastAsia="SimSun" w:hAnsi="Arial" w:cs="Times New Roman"/>
      <w:sz w:val="36"/>
      <w:szCs w:val="20"/>
      <w:lang w:val="en-GB"/>
    </w:rPr>
  </w:style>
  <w:style w:type="character" w:customStyle="1" w:styleId="Heading9Char">
    <w:name w:val="Heading 9 Char"/>
    <w:basedOn w:val="DefaultParagraphFont"/>
    <w:link w:val="Heading9"/>
    <w:rsid w:val="001D7377"/>
    <w:rPr>
      <w:rFonts w:ascii="Arial" w:eastAsia="SimSun" w:hAnsi="Arial" w:cs="Times New Roman"/>
      <w:sz w:val="36"/>
      <w:szCs w:val="20"/>
      <w:lang w:val="en-GB"/>
    </w:rPr>
  </w:style>
  <w:style w:type="paragraph" w:styleId="Footer">
    <w:name w:val="footer"/>
    <w:basedOn w:val="Header"/>
    <w:link w:val="FooterChar"/>
    <w:rsid w:val="001D7377"/>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1D7377"/>
    <w:rPr>
      <w:rFonts w:ascii="Arial" w:eastAsia="SimSun" w:hAnsi="Arial" w:cs="Times New Roman"/>
      <w:b/>
      <w:i/>
      <w:noProof/>
      <w:sz w:val="18"/>
      <w:szCs w:val="20"/>
    </w:rPr>
  </w:style>
  <w:style w:type="paragraph" w:styleId="Caption">
    <w:name w:val="caption"/>
    <w:aliases w:val="cap"/>
    <w:basedOn w:val="Normal"/>
    <w:next w:val="Normal"/>
    <w:qFormat/>
    <w:rsid w:val="001D7377"/>
    <w:pPr>
      <w:spacing w:before="120" w:after="120"/>
    </w:pPr>
    <w:rPr>
      <w:b/>
      <w:bCs/>
    </w:rPr>
  </w:style>
  <w:style w:type="paragraph" w:customStyle="1" w:styleId="body">
    <w:name w:val="body"/>
    <w:basedOn w:val="Normal"/>
    <w:link w:val="bodyChar"/>
    <w:rsid w:val="001D7377"/>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1D73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7377"/>
  </w:style>
  <w:style w:type="character" w:customStyle="1" w:styleId="Heading1Char1">
    <w:name w:val="Heading 1 Char1"/>
    <w:link w:val="Heading1"/>
    <w:rsid w:val="001D7377"/>
    <w:rPr>
      <w:rFonts w:ascii="Arial" w:eastAsia="SimSun" w:hAnsi="Arial" w:cs="Times New Roman"/>
      <w:sz w:val="36"/>
      <w:szCs w:val="20"/>
      <w:lang w:val="en-GB"/>
    </w:rPr>
  </w:style>
  <w:style w:type="paragraph" w:styleId="ListParagraph">
    <w:name w:val="List Paragraph"/>
    <w:basedOn w:val="Normal"/>
    <w:link w:val="ListParagraphChar"/>
    <w:uiPriority w:val="34"/>
    <w:qFormat/>
    <w:rsid w:val="001D7377"/>
    <w:pPr>
      <w:overflowPunct/>
      <w:autoSpaceDE/>
      <w:autoSpaceDN/>
      <w:adjustRightInd/>
      <w:spacing w:after="0"/>
      <w:ind w:left="720"/>
      <w:textAlignment w:val="auto"/>
    </w:pPr>
    <w:rPr>
      <w:rFonts w:ascii="Calibri" w:eastAsia="Calibri" w:hAnsi="Calibri"/>
      <w:szCs w:val="22"/>
    </w:rPr>
  </w:style>
  <w:style w:type="character" w:styleId="Hyperlink">
    <w:name w:val="Hyperlink"/>
    <w:rsid w:val="001D7377"/>
    <w:rPr>
      <w:color w:val="0000FF"/>
      <w:u w:val="single"/>
    </w:rPr>
  </w:style>
  <w:style w:type="character" w:customStyle="1" w:styleId="ListParagraphChar">
    <w:name w:val="List Paragraph Char"/>
    <w:link w:val="ListParagraph"/>
    <w:uiPriority w:val="34"/>
    <w:locked/>
    <w:rsid w:val="001D7377"/>
    <w:rPr>
      <w:rFonts w:ascii="Calibri" w:eastAsia="Calibri" w:hAnsi="Calibri" w:cs="Times New Roman"/>
    </w:rPr>
  </w:style>
  <w:style w:type="character" w:customStyle="1" w:styleId="bodyChar">
    <w:name w:val="body Char"/>
    <w:link w:val="body"/>
    <w:rsid w:val="001D7377"/>
    <w:rPr>
      <w:rFonts w:ascii="New York" w:eastAsia="SimSun" w:hAnsi="New York" w:cs="Times New Roman"/>
      <w:sz w:val="24"/>
      <w:szCs w:val="20"/>
    </w:rPr>
  </w:style>
  <w:style w:type="paragraph" w:styleId="Header">
    <w:name w:val="header"/>
    <w:aliases w:val="header odd"/>
    <w:basedOn w:val="Normal"/>
    <w:link w:val="HeaderChar"/>
    <w:unhideWhenUsed/>
    <w:rsid w:val="001D7377"/>
    <w:pPr>
      <w:tabs>
        <w:tab w:val="center" w:pos="4680"/>
        <w:tab w:val="right" w:pos="9360"/>
      </w:tabs>
      <w:spacing w:after="0"/>
    </w:pPr>
  </w:style>
  <w:style w:type="character" w:customStyle="1" w:styleId="HeaderChar">
    <w:name w:val="Header Char"/>
    <w:aliases w:val="header odd Char"/>
    <w:basedOn w:val="DefaultParagraphFont"/>
    <w:link w:val="Header"/>
    <w:rsid w:val="001D7377"/>
    <w:rPr>
      <w:rFonts w:ascii="Times New Roman" w:eastAsia="SimSun" w:hAnsi="Times New Roman" w:cs="Times New Roman"/>
      <w:sz w:val="20"/>
      <w:szCs w:val="20"/>
    </w:rPr>
  </w:style>
  <w:style w:type="character" w:styleId="CommentReference">
    <w:name w:val="annotation reference"/>
    <w:basedOn w:val="DefaultParagraphFont"/>
    <w:uiPriority w:val="99"/>
    <w:semiHidden/>
    <w:unhideWhenUsed/>
    <w:rsid w:val="00280D6A"/>
    <w:rPr>
      <w:sz w:val="16"/>
      <w:szCs w:val="16"/>
    </w:rPr>
  </w:style>
  <w:style w:type="paragraph" w:styleId="CommentText">
    <w:name w:val="annotation text"/>
    <w:basedOn w:val="Normal"/>
    <w:link w:val="CommentTextChar"/>
    <w:uiPriority w:val="99"/>
    <w:semiHidden/>
    <w:unhideWhenUsed/>
    <w:rsid w:val="00280D6A"/>
    <w:rPr>
      <w:sz w:val="20"/>
    </w:rPr>
  </w:style>
  <w:style w:type="character" w:customStyle="1" w:styleId="CommentTextChar">
    <w:name w:val="Comment Text Char"/>
    <w:basedOn w:val="DefaultParagraphFont"/>
    <w:link w:val="CommentText"/>
    <w:uiPriority w:val="99"/>
    <w:semiHidden/>
    <w:rsid w:val="00280D6A"/>
    <w:rPr>
      <w:rFonts w:eastAsia="SimSun" w:cs="Times New Roman"/>
      <w:sz w:val="20"/>
      <w:szCs w:val="20"/>
    </w:rPr>
  </w:style>
  <w:style w:type="paragraph" w:styleId="CommentSubject">
    <w:name w:val="annotation subject"/>
    <w:basedOn w:val="CommentText"/>
    <w:next w:val="CommentText"/>
    <w:link w:val="CommentSubjectChar"/>
    <w:uiPriority w:val="99"/>
    <w:semiHidden/>
    <w:unhideWhenUsed/>
    <w:rsid w:val="00280D6A"/>
    <w:rPr>
      <w:b/>
      <w:bCs/>
    </w:rPr>
  </w:style>
  <w:style w:type="character" w:customStyle="1" w:styleId="CommentSubjectChar">
    <w:name w:val="Comment Subject Char"/>
    <w:basedOn w:val="CommentTextChar"/>
    <w:link w:val="CommentSubject"/>
    <w:uiPriority w:val="99"/>
    <w:semiHidden/>
    <w:rsid w:val="00280D6A"/>
    <w:rPr>
      <w:rFonts w:eastAsia="SimSun" w:cs="Times New Roman"/>
      <w:b/>
      <w:bCs/>
      <w:sz w:val="20"/>
      <w:szCs w:val="20"/>
    </w:rPr>
  </w:style>
  <w:style w:type="paragraph" w:styleId="BalloonText">
    <w:name w:val="Balloon Text"/>
    <w:basedOn w:val="Normal"/>
    <w:link w:val="BalloonTextChar"/>
    <w:uiPriority w:val="99"/>
    <w:semiHidden/>
    <w:unhideWhenUsed/>
    <w:rsid w:val="00280D6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80D6A"/>
    <w:rPr>
      <w:rFonts w:ascii="Segoe UI" w:eastAsia="SimSun" w:hAnsi="Segoe UI" w:cs="Segoe UI"/>
      <w:sz w:val="18"/>
      <w:szCs w:val="18"/>
    </w:rPr>
  </w:style>
  <w:style w:type="paragraph" w:customStyle="1" w:styleId="2222">
    <w:name w:val="스타일 스타일 스타일 스타일 양쪽 첫 줄:  2 글자 + 첫 줄:  2 글자 + 첫 줄:  2 글자 + 첫 줄:  2..."/>
    <w:basedOn w:val="Normal"/>
    <w:link w:val="2222Char"/>
    <w:rsid w:val="00AF2C72"/>
    <w:pPr>
      <w:overflowPunct/>
      <w:autoSpaceDE/>
      <w:autoSpaceDN/>
      <w:adjustRightInd/>
      <w:spacing w:line="336" w:lineRule="auto"/>
      <w:ind w:firstLineChars="200" w:firstLine="200"/>
      <w:jc w:val="both"/>
      <w:textAlignment w:val="auto"/>
    </w:pPr>
    <w:rPr>
      <w:rFonts w:ascii="Times New Roman" w:eastAsia="Malgun Gothic" w:hAnsi="Times New Roman" w:cs="Batang"/>
      <w:sz w:val="20"/>
      <w:lang w:val="en-GB"/>
    </w:rPr>
  </w:style>
  <w:style w:type="character" w:customStyle="1" w:styleId="2222Char">
    <w:name w:val="스타일 스타일 스타일 스타일 양쪽 첫 줄:  2 글자 + 첫 줄:  2 글자 + 첫 줄:  2 글자 + 첫 줄:  2... Char"/>
    <w:link w:val="2222"/>
    <w:rsid w:val="00AF2C72"/>
    <w:rPr>
      <w:rFonts w:ascii="Times New Roman" w:eastAsia="Malgun Gothic" w:hAnsi="Times New Roman" w:cs="Batang"/>
      <w:sz w:val="20"/>
      <w:szCs w:val="20"/>
      <w:lang w:val="en-GB"/>
    </w:rPr>
  </w:style>
  <w:style w:type="paragraph" w:customStyle="1" w:styleId="CRCoverPage">
    <w:name w:val="CR Cover Page"/>
    <w:rsid w:val="00D53550"/>
    <w:pPr>
      <w:spacing w:after="120" w:line="240" w:lineRule="auto"/>
    </w:pPr>
    <w:rPr>
      <w:rFonts w:ascii="Arial" w:eastAsia="MS Mincho" w:hAnsi="Arial" w:cs="Times New Roman"/>
      <w:sz w:val="20"/>
      <w:szCs w:val="20"/>
      <w:lang w:val="en-GB"/>
    </w:rPr>
  </w:style>
  <w:style w:type="paragraph" w:styleId="NormalWeb">
    <w:name w:val="Normal (Web)"/>
    <w:basedOn w:val="Normal"/>
    <w:uiPriority w:val="99"/>
    <w:semiHidden/>
    <w:unhideWhenUsed/>
    <w:rsid w:val="000159A3"/>
    <w:pPr>
      <w:overflowPunct/>
      <w:autoSpaceDE/>
      <w:autoSpaceDN/>
      <w:adjustRightInd/>
      <w:spacing w:before="100" w:beforeAutospacing="1" w:after="100" w:afterAutospacing="1"/>
      <w:textAlignment w:val="auto"/>
    </w:pPr>
    <w:rPr>
      <w:rFonts w:ascii="Times New Roman" w:eastAsia="Times New Roman" w:hAnsi="Times New Roman"/>
      <w:sz w:val="24"/>
      <w:szCs w:val="24"/>
    </w:rPr>
  </w:style>
  <w:style w:type="paragraph" w:customStyle="1" w:styleId="TdocHeader2">
    <w:name w:val="Tdoc_Header_2"/>
    <w:basedOn w:val="Normal"/>
    <w:rsid w:val="00D52BF3"/>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lang w:val="en-GB"/>
    </w:rPr>
  </w:style>
  <w:style w:type="character" w:customStyle="1" w:styleId="maintextChar">
    <w:name w:val="main text Char"/>
    <w:link w:val="maintext"/>
    <w:locked/>
    <w:rsid w:val="00BE2BF0"/>
    <w:rPr>
      <w:rFonts w:ascii="Times New Roman" w:eastAsia="Malgun Gothic" w:hAnsi="Times New Roman" w:cs="Batang"/>
      <w:lang w:val="en-GB" w:eastAsia="ko-KR"/>
    </w:rPr>
  </w:style>
  <w:style w:type="paragraph" w:customStyle="1" w:styleId="maintext">
    <w:name w:val="main text"/>
    <w:basedOn w:val="Normal"/>
    <w:link w:val="maintextChar"/>
    <w:qFormat/>
    <w:rsid w:val="00BE2BF0"/>
    <w:pPr>
      <w:overflowPunct/>
      <w:autoSpaceDE/>
      <w:autoSpaceDN/>
      <w:adjustRightInd/>
      <w:spacing w:before="60" w:after="60" w:line="288" w:lineRule="auto"/>
      <w:ind w:firstLineChars="200" w:firstLine="200"/>
      <w:jc w:val="both"/>
      <w:textAlignment w:val="auto"/>
    </w:pPr>
    <w:rPr>
      <w:rFonts w:ascii="Times New Roman" w:eastAsia="Malgun Gothic" w:hAnsi="Times New Roman" w:cs="Batang"/>
      <w:szCs w:val="22"/>
      <w:lang w:val="en-GB" w:eastAsia="ko-KR"/>
    </w:rPr>
  </w:style>
  <w:style w:type="character" w:customStyle="1" w:styleId="Doc-text2Char">
    <w:name w:val="Doc-text2 Char"/>
    <w:link w:val="Doc-text2"/>
    <w:locked/>
    <w:rsid w:val="00BE2BF0"/>
    <w:rPr>
      <w:rFonts w:ascii="Arial" w:eastAsia="MS Mincho" w:hAnsi="Arial" w:cs="Arial"/>
      <w:szCs w:val="24"/>
      <w:lang w:val="en-GB" w:eastAsia="en-GB"/>
    </w:rPr>
  </w:style>
  <w:style w:type="paragraph" w:customStyle="1" w:styleId="Doc-text2">
    <w:name w:val="Doc-text2"/>
    <w:basedOn w:val="Normal"/>
    <w:link w:val="Doc-text2Char"/>
    <w:qFormat/>
    <w:rsid w:val="00BE2BF0"/>
    <w:pPr>
      <w:tabs>
        <w:tab w:val="left" w:pos="1622"/>
      </w:tabs>
      <w:overflowPunct/>
      <w:autoSpaceDE/>
      <w:autoSpaceDN/>
      <w:adjustRightInd/>
      <w:spacing w:after="0"/>
      <w:ind w:left="1622" w:hanging="363"/>
      <w:textAlignment w:val="auto"/>
    </w:pPr>
    <w:rPr>
      <w:rFonts w:ascii="Arial" w:eastAsia="MS Mincho" w:hAnsi="Arial" w:cs="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9267077">
      <w:bodyDiv w:val="1"/>
      <w:marLeft w:val="0"/>
      <w:marRight w:val="0"/>
      <w:marTop w:val="0"/>
      <w:marBottom w:val="0"/>
      <w:divBdr>
        <w:top w:val="none" w:sz="0" w:space="0" w:color="auto"/>
        <w:left w:val="none" w:sz="0" w:space="0" w:color="auto"/>
        <w:bottom w:val="none" w:sz="0" w:space="0" w:color="auto"/>
        <w:right w:val="none" w:sz="0" w:space="0" w:color="auto"/>
      </w:divBdr>
    </w:div>
    <w:div w:id="603807239">
      <w:bodyDiv w:val="1"/>
      <w:marLeft w:val="0"/>
      <w:marRight w:val="0"/>
      <w:marTop w:val="0"/>
      <w:marBottom w:val="0"/>
      <w:divBdr>
        <w:top w:val="none" w:sz="0" w:space="0" w:color="auto"/>
        <w:left w:val="none" w:sz="0" w:space="0" w:color="auto"/>
        <w:bottom w:val="none" w:sz="0" w:space="0" w:color="auto"/>
        <w:right w:val="none" w:sz="0" w:space="0" w:color="auto"/>
      </w:divBdr>
    </w:div>
    <w:div w:id="734204584">
      <w:bodyDiv w:val="1"/>
      <w:marLeft w:val="0"/>
      <w:marRight w:val="0"/>
      <w:marTop w:val="0"/>
      <w:marBottom w:val="0"/>
      <w:divBdr>
        <w:top w:val="none" w:sz="0" w:space="0" w:color="auto"/>
        <w:left w:val="none" w:sz="0" w:space="0" w:color="auto"/>
        <w:bottom w:val="none" w:sz="0" w:space="0" w:color="auto"/>
        <w:right w:val="none" w:sz="0" w:space="0" w:color="auto"/>
      </w:divBdr>
    </w:div>
    <w:div w:id="1515807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PowerPoint_Presentation.pptx"/><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8F7073-C77A-4AD8-8BF9-8C9E06C298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1093</TotalTime>
  <Pages>7</Pages>
  <Words>2097</Words>
  <Characters>11953</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AT&amp;T Labs</Company>
  <LinksUpToDate>false</LinksUpToDate>
  <CharactersWithSpaces>14022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Xiaoyi Wang</dc:creator>
  <cp:keywords/>
  <dc:description/>
  <cp:lastModifiedBy>Majmundar, Milap</cp:lastModifiedBy>
  <cp:revision>61</cp:revision>
  <dcterms:created xsi:type="dcterms:W3CDTF">2017-06-15T02:45:00Z</dcterms:created>
  <dcterms:modified xsi:type="dcterms:W3CDTF">2017-06-17T04:40:00Z</dcterms:modified>
</cp:coreProperties>
</file>